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BB46" w14:textId="77777777" w:rsidR="00CA4C41" w:rsidRDefault="00CA4C41" w:rsidP="00B73AD7">
      <w:pPr>
        <w:pStyle w:val="Heading1"/>
        <w:spacing w:line="276" w:lineRule="auto"/>
        <w:rPr>
          <w:lang w:val="en-US"/>
        </w:rPr>
      </w:pPr>
      <w:bookmarkStart w:id="0" w:name="_Hlk70930133"/>
      <w:r>
        <w:rPr>
          <w:lang w:val="en-US"/>
        </w:rPr>
        <w:softHyphen/>
      </w:r>
      <w:r>
        <w:rPr>
          <w:lang w:val="en-US"/>
        </w:rPr>
        <w:softHyphen/>
      </w:r>
      <w:r>
        <w:rPr>
          <w:lang w:val="en-US"/>
        </w:rPr>
        <w:softHyphen/>
      </w:r>
      <w:r>
        <w:rPr>
          <w:lang w:val="en-US"/>
        </w:rPr>
        <w:softHyphen/>
      </w:r>
      <w:r>
        <w:rPr>
          <w:lang w:val="en-US"/>
        </w:rPr>
        <w:softHyphen/>
        <w:t>Estimating the early i</w:t>
      </w:r>
      <w:r w:rsidRPr="00FE4F41">
        <w:rPr>
          <w:lang w:val="en-US"/>
        </w:rPr>
        <w:t xml:space="preserve">mpact of </w:t>
      </w:r>
      <w:r>
        <w:rPr>
          <w:lang w:val="en-US"/>
        </w:rPr>
        <w:t>vaccination</w:t>
      </w:r>
      <w:r w:rsidRPr="00FE4F41">
        <w:rPr>
          <w:lang w:val="en-US"/>
        </w:rPr>
        <w:t xml:space="preserve"> </w:t>
      </w:r>
      <w:r>
        <w:rPr>
          <w:lang w:val="en-US"/>
        </w:rPr>
        <w:t xml:space="preserve">against COVID-19 </w:t>
      </w:r>
      <w:r w:rsidRPr="00FE4F41">
        <w:rPr>
          <w:lang w:val="en-US"/>
        </w:rPr>
        <w:t xml:space="preserve">on </w:t>
      </w:r>
      <w:r>
        <w:rPr>
          <w:lang w:val="en-US"/>
        </w:rPr>
        <w:t xml:space="preserve">deaths among elderly people in Brazil: analyses of routinely-collected data on vaccine coverage and mortality. </w:t>
      </w:r>
    </w:p>
    <w:p w14:paraId="5B2F37CE" w14:textId="77777777" w:rsidR="00CA4C41" w:rsidRDefault="00CA4C41" w:rsidP="00B73AD7">
      <w:pPr>
        <w:spacing w:line="276" w:lineRule="auto"/>
        <w:rPr>
          <w:lang w:val="en-US"/>
        </w:rPr>
      </w:pPr>
    </w:p>
    <w:p w14:paraId="3D7CCFB3" w14:textId="77777777" w:rsidR="00CA4C41" w:rsidRPr="0044334F" w:rsidRDefault="00CA4C41" w:rsidP="0082701F">
      <w:pPr>
        <w:spacing w:line="276" w:lineRule="auto"/>
        <w:rPr>
          <w:sz w:val="24"/>
          <w:szCs w:val="24"/>
          <w:vertAlign w:val="superscript"/>
        </w:rPr>
      </w:pPr>
      <w:proofErr w:type="spellStart"/>
      <w:r>
        <w:t>Prof</w:t>
      </w:r>
      <w:proofErr w:type="spellEnd"/>
      <w:r>
        <w:t xml:space="preserve"> </w:t>
      </w:r>
      <w:r w:rsidRPr="0044334F">
        <w:t>Cesar Victora</w:t>
      </w:r>
      <w:r>
        <w:t xml:space="preserve"> MD</w:t>
      </w:r>
      <w:r w:rsidRPr="0044334F">
        <w:rPr>
          <w:vertAlign w:val="superscript"/>
        </w:rPr>
        <w:t>1</w:t>
      </w:r>
      <w:bookmarkEnd w:id="0"/>
      <w:r w:rsidRPr="0044334F">
        <w:rPr>
          <w:vertAlign w:val="superscript"/>
        </w:rPr>
        <w:t>,2</w:t>
      </w:r>
      <w:r w:rsidRPr="0044334F">
        <w:t xml:space="preserve">, </w:t>
      </w:r>
      <w:r>
        <w:t xml:space="preserve"> </w:t>
      </w:r>
      <w:proofErr w:type="spellStart"/>
      <w:r>
        <w:t>Prof</w:t>
      </w:r>
      <w:proofErr w:type="spellEnd"/>
      <w:r>
        <w:t xml:space="preserve"> </w:t>
      </w:r>
      <w:r w:rsidRPr="0044334F">
        <w:t>Marcia C Castro</w:t>
      </w:r>
      <w:r>
        <w:t xml:space="preserve"> PhD</w:t>
      </w:r>
      <w:r w:rsidRPr="0044334F">
        <w:rPr>
          <w:vertAlign w:val="superscript"/>
        </w:rPr>
        <w:t>2</w:t>
      </w:r>
      <w:r w:rsidRPr="0044334F">
        <w:t xml:space="preserve">, Susie </w:t>
      </w:r>
      <w:proofErr w:type="spellStart"/>
      <w:r w:rsidRPr="0044334F">
        <w:t>Gurzenda</w:t>
      </w:r>
      <w:proofErr w:type="spellEnd"/>
      <w:r>
        <w:t xml:space="preserve"> MS</w:t>
      </w:r>
      <w:r w:rsidRPr="0044334F">
        <w:rPr>
          <w:vertAlign w:val="superscript"/>
        </w:rPr>
        <w:t>2</w:t>
      </w:r>
      <w:r w:rsidRPr="0044334F">
        <w:t>, Arnaldo Correia de Medeiros</w:t>
      </w:r>
      <w:r>
        <w:t xml:space="preserve"> PhD</w:t>
      </w:r>
      <w:r w:rsidRPr="0044334F">
        <w:rPr>
          <w:vertAlign w:val="superscript"/>
        </w:rPr>
        <w:t>3</w:t>
      </w:r>
      <w:r w:rsidRPr="0044334F">
        <w:t>, Giovanny França</w:t>
      </w:r>
      <w:r>
        <w:t xml:space="preserve"> PhD</w:t>
      </w:r>
      <w:r w:rsidRPr="0044334F">
        <w:rPr>
          <w:vertAlign w:val="superscript"/>
        </w:rPr>
        <w:t>3</w:t>
      </w:r>
      <w:r w:rsidRPr="0044334F">
        <w:t xml:space="preserve">, </w:t>
      </w:r>
      <w:proofErr w:type="spellStart"/>
      <w:r>
        <w:t>Prof</w:t>
      </w:r>
      <w:proofErr w:type="spellEnd"/>
      <w:r>
        <w:t xml:space="preserve"> </w:t>
      </w:r>
      <w:proofErr w:type="spellStart"/>
      <w:r w:rsidRPr="0044334F">
        <w:t>Aluisio</w:t>
      </w:r>
      <w:proofErr w:type="spellEnd"/>
      <w:r w:rsidRPr="0044334F">
        <w:t xml:space="preserve"> </w:t>
      </w:r>
      <w:r>
        <w:t xml:space="preserve">J D </w:t>
      </w:r>
      <w:r w:rsidRPr="0044334F">
        <w:t>Barros</w:t>
      </w:r>
      <w:r>
        <w:t xml:space="preserve"> PhD</w:t>
      </w:r>
      <w:r w:rsidRPr="005A7876">
        <w:rPr>
          <w:vertAlign w:val="superscript"/>
        </w:rPr>
        <w:t>1</w:t>
      </w:r>
    </w:p>
    <w:p w14:paraId="7838D526" w14:textId="77777777" w:rsidR="00CA4C41" w:rsidRPr="0044334F" w:rsidRDefault="00CA4C41" w:rsidP="0082701F">
      <w:pPr>
        <w:spacing w:line="276" w:lineRule="auto"/>
        <w:rPr>
          <w:lang w:val="en-US"/>
        </w:rPr>
      </w:pPr>
      <w:r>
        <w:rPr>
          <w:lang w:val="en-US"/>
        </w:rPr>
        <w:t xml:space="preserve">1 </w:t>
      </w:r>
      <w:r w:rsidRPr="0044334F">
        <w:rPr>
          <w:lang w:val="en-US"/>
        </w:rPr>
        <w:t>International Center for Equity in Health, Federal University of Pelotas, Pelotas, RS, Brazil</w:t>
      </w:r>
    </w:p>
    <w:p w14:paraId="37560BD1" w14:textId="77777777" w:rsidR="00CA4C41" w:rsidRDefault="00CA4C41" w:rsidP="0082701F">
      <w:pPr>
        <w:spacing w:line="276" w:lineRule="auto"/>
        <w:rPr>
          <w:lang w:val="en-US"/>
        </w:rPr>
      </w:pPr>
      <w:r>
        <w:rPr>
          <w:lang w:val="en-US"/>
        </w:rPr>
        <w:t xml:space="preserve">2 </w:t>
      </w:r>
      <w:r w:rsidRPr="0044334F">
        <w:rPr>
          <w:lang w:val="en-US"/>
        </w:rPr>
        <w:t>Department of Global Health and Population, Harvard T.H. Chan School of Public Health, Boston, MA, USA</w:t>
      </w:r>
    </w:p>
    <w:p w14:paraId="7B1011E3" w14:textId="77777777" w:rsidR="00CA4C41" w:rsidRPr="0044334F" w:rsidRDefault="00CA4C41" w:rsidP="0082701F">
      <w:pPr>
        <w:spacing w:line="276" w:lineRule="auto"/>
      </w:pPr>
      <w:r>
        <w:t xml:space="preserve">3 </w:t>
      </w:r>
      <w:r w:rsidRPr="0044334F">
        <w:t xml:space="preserve">Secretaria de Vigilância em Saúde, Ministério da Saúde, </w:t>
      </w:r>
      <w:proofErr w:type="spellStart"/>
      <w:r w:rsidRPr="0044334F">
        <w:t>Brasilia</w:t>
      </w:r>
      <w:proofErr w:type="spellEnd"/>
      <w:r w:rsidRPr="0044334F">
        <w:t xml:space="preserve">, DF, </w:t>
      </w:r>
      <w:proofErr w:type="spellStart"/>
      <w:r w:rsidRPr="0044334F">
        <w:t>Brazil</w:t>
      </w:r>
      <w:proofErr w:type="spellEnd"/>
    </w:p>
    <w:p w14:paraId="328B1DD0" w14:textId="77777777" w:rsidR="00CA4C41" w:rsidRPr="00643104" w:rsidRDefault="00CA4C41" w:rsidP="00B73AD7">
      <w:pPr>
        <w:spacing w:after="0" w:line="276" w:lineRule="auto"/>
      </w:pPr>
      <w:proofErr w:type="spellStart"/>
      <w:r w:rsidRPr="00042013">
        <w:t>Corresponding</w:t>
      </w:r>
      <w:proofErr w:type="spellEnd"/>
      <w:r w:rsidRPr="00042013">
        <w:t xml:space="preserve"> </w:t>
      </w:r>
      <w:proofErr w:type="spellStart"/>
      <w:r w:rsidRPr="00042013">
        <w:t>author</w:t>
      </w:r>
      <w:proofErr w:type="spellEnd"/>
      <w:r w:rsidRPr="00042013">
        <w:t>: Cesar G Victora,</w:t>
      </w:r>
      <w:r>
        <w:t xml:space="preserve"> Universidade Federal de Pelotas, Rua Marechal Deodoro 1160, Pelotas, RS, 96020-220, </w:t>
      </w:r>
      <w:proofErr w:type="spellStart"/>
      <w:r>
        <w:t>Brazil</w:t>
      </w:r>
      <w:proofErr w:type="spellEnd"/>
      <w:r>
        <w:t xml:space="preserve">. </w:t>
      </w:r>
      <w:r w:rsidRPr="00643104">
        <w:t xml:space="preserve">E-mail: </w:t>
      </w:r>
      <w:hyperlink r:id="rId7" w:history="1">
        <w:r w:rsidRPr="00643104">
          <w:rPr>
            <w:rStyle w:val="Hyperlink"/>
          </w:rPr>
          <w:t>cvictora@gmail.com</w:t>
        </w:r>
      </w:hyperlink>
    </w:p>
    <w:p w14:paraId="1E038137" w14:textId="77777777" w:rsidR="00CA4C41" w:rsidRPr="00643104" w:rsidRDefault="00CA4C41">
      <w:pPr>
        <w:rPr>
          <w:rFonts w:asciiTheme="majorHAnsi" w:eastAsiaTheme="majorEastAsia" w:hAnsiTheme="majorHAnsi" w:cstheme="majorBidi"/>
          <w:color w:val="2F5496" w:themeColor="accent1" w:themeShade="BF"/>
          <w:sz w:val="32"/>
          <w:szCs w:val="32"/>
        </w:rPr>
      </w:pPr>
      <w:r w:rsidRPr="00643104">
        <w:br w:type="page"/>
      </w:r>
    </w:p>
    <w:p w14:paraId="0780EDDB" w14:textId="77777777" w:rsidR="00CA4C41" w:rsidRPr="0032743C" w:rsidRDefault="00CA4C41" w:rsidP="00B73AD7">
      <w:pPr>
        <w:pStyle w:val="Heading1"/>
        <w:spacing w:line="276" w:lineRule="auto"/>
        <w:rPr>
          <w:lang w:val="en-US"/>
        </w:rPr>
      </w:pPr>
      <w:r w:rsidRPr="0032743C">
        <w:rPr>
          <w:lang w:val="en-US"/>
        </w:rPr>
        <w:lastRenderedPageBreak/>
        <w:t xml:space="preserve">Abstract </w:t>
      </w:r>
    </w:p>
    <w:p w14:paraId="783199FC" w14:textId="77777777" w:rsidR="00CA4C41" w:rsidRPr="009C09E3" w:rsidRDefault="00CA4C41" w:rsidP="00B73AD7">
      <w:pPr>
        <w:pStyle w:val="Heading2"/>
        <w:spacing w:line="276" w:lineRule="auto"/>
        <w:rPr>
          <w:lang w:val="en-US"/>
        </w:rPr>
      </w:pPr>
      <w:r w:rsidRPr="009C09E3">
        <w:rPr>
          <w:lang w:val="en-US"/>
        </w:rPr>
        <w:t>Background</w:t>
      </w:r>
    </w:p>
    <w:p w14:paraId="21ED57ED" w14:textId="77777777" w:rsidR="00CA4C41" w:rsidRDefault="00CA4C41" w:rsidP="00B73AD7">
      <w:pPr>
        <w:spacing w:line="276" w:lineRule="auto"/>
        <w:rPr>
          <w:lang w:val="en-US"/>
        </w:rPr>
      </w:pPr>
      <w:r>
        <w:rPr>
          <w:lang w:val="en-US"/>
        </w:rPr>
        <w:t>Vaccination</w:t>
      </w:r>
      <w:r w:rsidRPr="00DA5882">
        <w:rPr>
          <w:lang w:val="en-US"/>
        </w:rPr>
        <w:t xml:space="preserve"> against COVID-19 </w:t>
      </w:r>
      <w:r>
        <w:rPr>
          <w:lang w:val="en-US"/>
        </w:rPr>
        <w:t>in Brazil started in January 2021, with health workers and the elderly as the priority groups. We assessed whether there was an impact of vaccinations on the mortality of elderly individuals in a context of wide transmission of the SARS-CoV-2 gamma (P.1) variant.</w:t>
      </w:r>
    </w:p>
    <w:p w14:paraId="2952F0D9" w14:textId="77777777" w:rsidR="00CA4C41" w:rsidRDefault="00CA4C41" w:rsidP="00B73AD7">
      <w:pPr>
        <w:pStyle w:val="Heading2"/>
        <w:spacing w:line="276" w:lineRule="auto"/>
        <w:rPr>
          <w:lang w:val="en-US"/>
        </w:rPr>
      </w:pPr>
      <w:r>
        <w:rPr>
          <w:lang w:val="en-US"/>
        </w:rPr>
        <w:t>Methods</w:t>
      </w:r>
    </w:p>
    <w:p w14:paraId="6DEE6ED3" w14:textId="77777777" w:rsidR="00CA4C41" w:rsidRDefault="00CA4C41" w:rsidP="00B73AD7">
      <w:pPr>
        <w:spacing w:line="276" w:lineRule="auto"/>
        <w:rPr>
          <w:lang w:val="en-US"/>
        </w:rPr>
      </w:pPr>
      <w:r>
        <w:rPr>
          <w:lang w:val="en-US"/>
        </w:rPr>
        <w:t>By May 27, 2021, 147238,414 COVID-19 deaths had been reported to the Brazilian Mortality Information System. Denominators for mortality rates were calculated by correcting population estimates for all-cause deaths reported in 2020. Proportionate mortality at ages 70-79 and 80+ years relative to deaths at all ages were calculated for deaths due to COVID-19 and to other causes, as were COVID-19 mortality rate ratios relative to individuals aged 0-69 years. Vaccine coverage data were obtained from the Ministry of Health. All results were tabulated by epidemiological weeks 1-19, 2021.</w:t>
      </w:r>
    </w:p>
    <w:p w14:paraId="6F1E851E" w14:textId="77777777" w:rsidR="00CA4C41" w:rsidRDefault="00CA4C41" w:rsidP="00B73AD7">
      <w:pPr>
        <w:pStyle w:val="Heading2"/>
        <w:spacing w:line="276" w:lineRule="auto"/>
        <w:rPr>
          <w:lang w:val="en-US"/>
        </w:rPr>
      </w:pPr>
      <w:r>
        <w:rPr>
          <w:lang w:val="en-US"/>
        </w:rPr>
        <w:t>Findings</w:t>
      </w:r>
    </w:p>
    <w:p w14:paraId="00E5C278" w14:textId="77777777" w:rsidR="00CA4C41" w:rsidRDefault="00CA4C41" w:rsidP="00B73AD7">
      <w:pPr>
        <w:spacing w:line="276" w:lineRule="auto"/>
        <w:rPr>
          <w:lang w:val="en-US"/>
        </w:rPr>
      </w:pPr>
      <w:r>
        <w:rPr>
          <w:lang w:val="en-US"/>
        </w:rPr>
        <w:t xml:space="preserve">The proportion of all COVID-19 deaths at ages 80+ years was over 25% in weeks 1-6 and declined rapidly to 12.4% in week 19, whereas proportionate COVID-19 mortality for individuals aged 70-79 years started to decline by week 15. Trends in proportionate mortality due to other causes remained stable. Mortality rates were over 13 times higher in the 80+ years age group compared to that of 0-69 year </w:t>
      </w:r>
      <w:proofErr w:type="spellStart"/>
      <w:r>
        <w:rPr>
          <w:lang w:val="en-US"/>
        </w:rPr>
        <w:t>olds</w:t>
      </w:r>
      <w:proofErr w:type="spellEnd"/>
      <w:r>
        <w:rPr>
          <w:lang w:val="en-US"/>
        </w:rPr>
        <w:t xml:space="preserve"> up to week 6, and declined to 5.0 times in week 19. Vaccination coverage (first dose) of 90% was reached by week 9 for individuals aged 80+ years and by week 13 for those aged 70-79 years. Coronavac accounted for 65.4% and AstraZeneca for 29.8% of all doses administered in weeks 1-4, compared to 36.5% and 53.3% in weeks 15-19, respectively. </w:t>
      </w:r>
    </w:p>
    <w:p w14:paraId="09621EBC" w14:textId="77777777" w:rsidR="00CA4C41" w:rsidRDefault="00CA4C41" w:rsidP="00B73AD7">
      <w:pPr>
        <w:pStyle w:val="Heading2"/>
        <w:spacing w:line="276" w:lineRule="auto"/>
        <w:rPr>
          <w:lang w:val="en-US"/>
        </w:rPr>
      </w:pPr>
      <w:r>
        <w:rPr>
          <w:lang w:val="en-US"/>
        </w:rPr>
        <w:t>Interpretation</w:t>
      </w:r>
    </w:p>
    <w:p w14:paraId="1441BB10" w14:textId="3E471114" w:rsidR="00CA4C41" w:rsidRPr="00DA5882" w:rsidRDefault="00CA4C41" w:rsidP="00B73AD7">
      <w:pPr>
        <w:spacing w:line="276" w:lineRule="auto"/>
        <w:rPr>
          <w:lang w:val="en-US"/>
        </w:rPr>
      </w:pPr>
      <w:r>
        <w:rPr>
          <w:lang w:val="en-US"/>
        </w:rPr>
        <w:t>Rapid scaling up of vaccination coverage among elderly Brazilians was associated with important declines in relative mortality compared to younger individuals, in a setting where the gamma variant predominates.  Had mortality rates among the elderly remained proportionate to what was observed up to week 6, an estimated additional 43,802 COVID-related deaths would have been expected up to week 19.</w:t>
      </w:r>
    </w:p>
    <w:p w14:paraId="38B20C99" w14:textId="77777777" w:rsidR="00CA4C41" w:rsidRDefault="00CA4C41">
      <w:pPr>
        <w:rPr>
          <w:rFonts w:asciiTheme="majorHAnsi" w:eastAsiaTheme="majorEastAsia" w:hAnsiTheme="majorHAnsi" w:cstheme="majorBidi"/>
          <w:color w:val="2F5496" w:themeColor="accent1" w:themeShade="BF"/>
          <w:sz w:val="32"/>
          <w:szCs w:val="32"/>
          <w:lang w:val="en-US"/>
        </w:rPr>
      </w:pPr>
      <w:r>
        <w:rPr>
          <w:lang w:val="en-US"/>
        </w:rPr>
        <w:br w:type="page"/>
      </w:r>
    </w:p>
    <w:p w14:paraId="0A4937E4" w14:textId="77777777" w:rsidR="00CA4C41" w:rsidRPr="00C51979" w:rsidRDefault="00CA4C41" w:rsidP="00B73AD7">
      <w:pPr>
        <w:pStyle w:val="Heading1"/>
        <w:spacing w:line="276" w:lineRule="auto"/>
        <w:rPr>
          <w:lang w:val="en-US"/>
        </w:rPr>
      </w:pPr>
      <w:r w:rsidRPr="00C51979">
        <w:rPr>
          <w:lang w:val="en-US"/>
        </w:rPr>
        <w:lastRenderedPageBreak/>
        <w:t>Introduction</w:t>
      </w:r>
      <w:r w:rsidRPr="00C51979">
        <w:rPr>
          <w:lang w:val="en-US"/>
        </w:rPr>
        <w:tab/>
      </w:r>
    </w:p>
    <w:p w14:paraId="35F1D183" w14:textId="77777777" w:rsidR="00CA4C41" w:rsidRDefault="00CA4C41" w:rsidP="00B73AD7">
      <w:pPr>
        <w:spacing w:line="276" w:lineRule="auto"/>
        <w:rPr>
          <w:lang w:val="en-US"/>
        </w:rPr>
      </w:pPr>
      <w:r>
        <w:rPr>
          <w:lang w:val="en-US"/>
        </w:rPr>
        <w:t>In early 2021, Brazil became the global epicenter of the COVID-19 pandemic</w:t>
      </w:r>
      <w:r>
        <w:rPr>
          <w:noProof/>
          <w:vertAlign w:val="superscript"/>
          <w:lang w:val="en-US"/>
        </w:rPr>
        <w:t xml:space="preserve"> </w:t>
      </w:r>
      <w:r w:rsidRPr="00402201">
        <w:rPr>
          <w:noProof/>
          <w:vertAlign w:val="superscript"/>
          <w:lang w:val="en-US"/>
        </w:rPr>
        <w:t>1</w:t>
      </w:r>
      <w:r>
        <w:rPr>
          <w:lang w:val="en-US"/>
        </w:rPr>
        <w:t xml:space="preserve"> with an average of over 2,000 daily deaths in recent months.</w:t>
      </w:r>
      <w:r w:rsidRPr="00402201">
        <w:rPr>
          <w:noProof/>
          <w:vertAlign w:val="superscript"/>
          <w:lang w:val="en-US"/>
        </w:rPr>
        <w:t>2</w:t>
      </w:r>
      <w:r>
        <w:rPr>
          <w:lang w:val="en-US"/>
        </w:rPr>
        <w:t xml:space="preserve">  The gamma or P.1 variant, initially identified in Manaus in late 2020</w:t>
      </w:r>
      <w:r w:rsidRPr="00402201">
        <w:rPr>
          <w:noProof/>
          <w:vertAlign w:val="superscript"/>
          <w:lang w:val="en-US"/>
        </w:rPr>
        <w:t>3</w:t>
      </w:r>
      <w:r>
        <w:rPr>
          <w:lang w:val="en-US"/>
        </w:rPr>
        <w:t xml:space="preserve"> has rapidly spread throughout the country.</w:t>
      </w:r>
      <w:r w:rsidRPr="00402201">
        <w:rPr>
          <w:noProof/>
          <w:vertAlign w:val="superscript"/>
          <w:lang w:val="en-US"/>
        </w:rPr>
        <w:t>4</w:t>
      </w:r>
      <w:r>
        <w:rPr>
          <w:lang w:val="en-US"/>
        </w:rPr>
        <w:t xml:space="preserve"> Although </w:t>
      </w:r>
      <w:r w:rsidRPr="00803275">
        <w:rPr>
          <w:lang w:val="en-US"/>
        </w:rPr>
        <w:t xml:space="preserve">genomic analyses are infrequent, in April and May 2021 the new variant accounted for </w:t>
      </w:r>
      <w:r w:rsidRPr="00866018">
        <w:rPr>
          <w:lang w:val="en-US"/>
        </w:rPr>
        <w:t xml:space="preserve">three out of every four </w:t>
      </w:r>
      <w:r>
        <w:rPr>
          <w:lang w:val="en-US"/>
        </w:rPr>
        <w:t xml:space="preserve">samples subjected to </w:t>
      </w:r>
      <w:r w:rsidRPr="00803275">
        <w:rPr>
          <w:lang w:val="en-US"/>
        </w:rPr>
        <w:t>viral sequencing</w:t>
      </w:r>
      <w:r>
        <w:rPr>
          <w:lang w:val="en-US"/>
        </w:rPr>
        <w:t>.</w:t>
      </w:r>
      <w:r w:rsidRPr="007F4C3C">
        <w:rPr>
          <w:noProof/>
          <w:vertAlign w:val="superscript"/>
          <w:lang w:val="en-US"/>
        </w:rPr>
        <w:t>5</w:t>
      </w:r>
    </w:p>
    <w:p w14:paraId="18FF6476" w14:textId="77777777" w:rsidR="00CA4C41" w:rsidRPr="00C42829" w:rsidRDefault="00CA4C41" w:rsidP="00B73AD7">
      <w:pPr>
        <w:spacing w:line="276" w:lineRule="auto"/>
        <w:rPr>
          <w:lang w:val="en-US"/>
        </w:rPr>
      </w:pPr>
      <w:r>
        <w:rPr>
          <w:lang w:val="en-US"/>
        </w:rPr>
        <w:t xml:space="preserve">Vaccination against COVID-19 was started in late January 2021, with two types of vaccines being offered: Coronavac (Sinovac, China) </w:t>
      </w:r>
      <w:r w:rsidRPr="00592401">
        <w:rPr>
          <w:lang w:val="en-US"/>
        </w:rPr>
        <w:t xml:space="preserve">and AZD1222 (Oxford-AstraZeneca, UK). Vaccination has been initially targeted at </w:t>
      </w:r>
      <w:r>
        <w:rPr>
          <w:lang w:val="en-US"/>
        </w:rPr>
        <w:t>four</w:t>
      </w:r>
      <w:r w:rsidRPr="00592401">
        <w:rPr>
          <w:lang w:val="en-US"/>
        </w:rPr>
        <w:t xml:space="preserve"> priority groups: health workers, the elderly (starting with those aged 85 years or more, and gradually vaccinating younger age groups), indigenous populations</w:t>
      </w:r>
      <w:r>
        <w:rPr>
          <w:lang w:val="en-US"/>
        </w:rPr>
        <w:t>,</w:t>
      </w:r>
      <w:r w:rsidRPr="00592401">
        <w:rPr>
          <w:lang w:val="en-US"/>
        </w:rPr>
        <w:t xml:space="preserve"> and institutionalized individuals. By </w:t>
      </w:r>
      <w:r>
        <w:rPr>
          <w:lang w:val="en-US"/>
        </w:rPr>
        <w:t>May 28</w:t>
      </w:r>
      <w:r w:rsidRPr="00592401">
        <w:rPr>
          <w:lang w:val="en-US"/>
        </w:rPr>
        <w:t xml:space="preserve">, </w:t>
      </w:r>
      <w:r>
        <w:rPr>
          <w:lang w:val="en-US"/>
        </w:rPr>
        <w:t xml:space="preserve">41,478,005 Brazilians </w:t>
      </w:r>
      <w:r w:rsidRPr="00592401">
        <w:rPr>
          <w:lang w:val="en-US"/>
        </w:rPr>
        <w:t xml:space="preserve"> had received the first dose, and </w:t>
      </w:r>
      <w:r>
        <w:rPr>
          <w:lang w:val="en-US"/>
        </w:rPr>
        <w:t xml:space="preserve">19,604,603 </w:t>
      </w:r>
      <w:r w:rsidRPr="00592401">
        <w:rPr>
          <w:lang w:val="en-US"/>
        </w:rPr>
        <w:t xml:space="preserve"> the second dose</w:t>
      </w:r>
      <w:r>
        <w:rPr>
          <w:lang w:val="en-US"/>
        </w:rPr>
        <w:t>.</w:t>
      </w:r>
      <w:r w:rsidRPr="00592401">
        <w:rPr>
          <w:lang w:val="en-US"/>
        </w:rPr>
        <w:t xml:space="preserve"> </w:t>
      </w:r>
      <w:r w:rsidRPr="007F4C3C">
        <w:rPr>
          <w:noProof/>
          <w:vertAlign w:val="superscript"/>
          <w:lang w:val="en-US"/>
        </w:rPr>
        <w:t>6</w:t>
      </w:r>
      <w:r w:rsidRPr="00866018">
        <w:rPr>
          <w:lang w:val="en-US"/>
        </w:rPr>
        <w:t xml:space="preserve"> </w:t>
      </w:r>
    </w:p>
    <w:p w14:paraId="18BDBC7D" w14:textId="77777777" w:rsidR="00CA4C41" w:rsidRDefault="00CA4C41" w:rsidP="00887BFA">
      <w:pPr>
        <w:spacing w:line="276" w:lineRule="auto"/>
        <w:rPr>
          <w:lang w:val="en-US"/>
        </w:rPr>
      </w:pPr>
      <w:r w:rsidRPr="00592401">
        <w:rPr>
          <w:lang w:val="en-US"/>
        </w:rPr>
        <w:t>Vaccination campaigns have been associated with reductions in hospital admissions and</w:t>
      </w:r>
      <w:r>
        <w:rPr>
          <w:lang w:val="en-US"/>
        </w:rPr>
        <w:t xml:space="preserve"> </w:t>
      </w:r>
      <w:r w:rsidRPr="00B502DF">
        <w:rPr>
          <w:lang w:val="en-US"/>
        </w:rPr>
        <w:t>mortality</w:t>
      </w:r>
      <w:r>
        <w:rPr>
          <w:lang w:val="en-US"/>
        </w:rPr>
        <w:t xml:space="preserve"> among targeted population groups, in several of the early starting countries.</w:t>
      </w:r>
      <w:r w:rsidRPr="00887BFA">
        <w:rPr>
          <w:lang w:val="en-US"/>
        </w:rPr>
        <w:t xml:space="preserve"> </w:t>
      </w:r>
      <w:r w:rsidRPr="007F4C3C">
        <w:rPr>
          <w:noProof/>
          <w:vertAlign w:val="superscript"/>
          <w:lang w:val="en-US"/>
        </w:rPr>
        <w:t>7-9</w:t>
      </w:r>
      <w:r>
        <w:rPr>
          <w:lang w:val="en-US"/>
        </w:rPr>
        <w:t xml:space="preserve">   Yet, there is limited evidence on the efficacy of the two vaccines being delivered in Brazil against the gamma variant that currently accounts for the majority of cases in the country. Two observational studies among health care workers in Manaus</w:t>
      </w:r>
      <w:r w:rsidRPr="007F4C3C">
        <w:rPr>
          <w:noProof/>
          <w:vertAlign w:val="superscript"/>
          <w:lang w:val="en-US"/>
        </w:rPr>
        <w:t>10</w:t>
      </w:r>
      <w:r>
        <w:rPr>
          <w:lang w:val="en-US"/>
        </w:rPr>
        <w:t xml:space="preserve">  and São Paulo</w:t>
      </w:r>
      <w:r w:rsidRPr="007F4C3C">
        <w:rPr>
          <w:noProof/>
          <w:vertAlign w:val="superscript"/>
          <w:lang w:val="en-US"/>
        </w:rPr>
        <w:t>11</w:t>
      </w:r>
      <w:r>
        <w:rPr>
          <w:lang w:val="en-US"/>
        </w:rPr>
        <w:t xml:space="preserve"> suggested that the Coronavac provided partial protection against symptomatic illness in settings where gamma accounted for 75% and 47% of all infections, respectively, at the time of the study. Yet, there is growing concern that high SARS-CoV-2 incidence rates such as those observed in Brazil in early 2021 will lead to the appearance of new variants of concern as well as increase in the risk of vaccine escape.</w:t>
      </w:r>
      <w:r w:rsidRPr="00887BFA">
        <w:rPr>
          <w:lang w:val="en-US"/>
        </w:rPr>
        <w:t xml:space="preserve"> </w:t>
      </w:r>
      <w:r w:rsidRPr="007F4C3C">
        <w:rPr>
          <w:noProof/>
          <w:vertAlign w:val="superscript"/>
          <w:lang w:val="en-US"/>
        </w:rPr>
        <w:t>12</w:t>
      </w:r>
    </w:p>
    <w:p w14:paraId="41F4D509" w14:textId="77777777" w:rsidR="00CA4C41" w:rsidRPr="00C51979" w:rsidRDefault="00CA4C41" w:rsidP="00B73AD7">
      <w:pPr>
        <w:spacing w:line="276" w:lineRule="auto"/>
        <w:rPr>
          <w:lang w:val="en-US"/>
        </w:rPr>
      </w:pPr>
      <w:r>
        <w:rPr>
          <w:lang w:val="en-US"/>
        </w:rPr>
        <w:t xml:space="preserve">To evaluate the real-life effectiveness of the vaccination campaign in Brazil, we analyzed time trends in mortality due to COVID-19 using a database of over 430,000 registered deaths. We hypothesized that mortality would fall more rapidly among the elderly, who were the initial target group of the vaccination campaign, than among younger Brazilians. </w:t>
      </w:r>
    </w:p>
    <w:p w14:paraId="689D9B00" w14:textId="77777777" w:rsidR="00CA4C41" w:rsidRDefault="00CA4C41" w:rsidP="00B73AD7">
      <w:pPr>
        <w:pStyle w:val="Heading1"/>
        <w:spacing w:line="276" w:lineRule="auto"/>
        <w:rPr>
          <w:lang w:val="en-US"/>
        </w:rPr>
      </w:pPr>
      <w:r w:rsidRPr="00FE4F41">
        <w:rPr>
          <w:lang w:val="en-US"/>
        </w:rPr>
        <w:t>Method</w:t>
      </w:r>
      <w:r>
        <w:rPr>
          <w:lang w:val="en-US"/>
        </w:rPr>
        <w:t>s</w:t>
      </w:r>
    </w:p>
    <w:p w14:paraId="01503BF3" w14:textId="77777777" w:rsidR="00CA4C41" w:rsidRDefault="00CA4C41" w:rsidP="00B73AD7">
      <w:pPr>
        <w:spacing w:line="276" w:lineRule="auto"/>
        <w:rPr>
          <w:lang w:val="en-US"/>
        </w:rPr>
      </w:pPr>
      <w:r>
        <w:rPr>
          <w:lang w:val="en-US"/>
        </w:rPr>
        <w:t>Data on COVID-19 deaths were obtained from the Ministry of Health Mortality Information System</w:t>
      </w:r>
      <w:r w:rsidRPr="007F4C3C">
        <w:rPr>
          <w:noProof/>
          <w:vertAlign w:val="superscript"/>
          <w:lang w:val="en-US"/>
        </w:rPr>
        <w:t>13</w:t>
      </w:r>
      <w:r w:rsidRPr="00B502DF">
        <w:rPr>
          <w:lang w:val="en-US"/>
        </w:rPr>
        <w:t xml:space="preserve"> including deaths reported until </w:t>
      </w:r>
      <w:r>
        <w:rPr>
          <w:lang w:val="en-US"/>
        </w:rPr>
        <w:t>May 27</w:t>
      </w:r>
      <w:r w:rsidRPr="00B502DF">
        <w:rPr>
          <w:lang w:val="en-US"/>
        </w:rPr>
        <w:t>, 2021. Coverage of the death registration system has been estimated at over 95% by 2010</w:t>
      </w:r>
      <w:r>
        <w:rPr>
          <w:lang w:val="en-US"/>
        </w:rPr>
        <w:t>.</w:t>
      </w:r>
      <w:r w:rsidRPr="00887BFA">
        <w:rPr>
          <w:lang w:val="en-US"/>
        </w:rPr>
        <w:t xml:space="preserve"> </w:t>
      </w:r>
      <w:r w:rsidRPr="007F4C3C">
        <w:rPr>
          <w:noProof/>
          <w:vertAlign w:val="superscript"/>
          <w:lang w:val="en-US"/>
        </w:rPr>
        <w:t>14</w:t>
      </w:r>
      <w:r w:rsidRPr="00B502DF">
        <w:rPr>
          <w:lang w:val="en-US"/>
        </w:rPr>
        <w:t xml:space="preserve"> </w:t>
      </w:r>
      <w:r>
        <w:rPr>
          <w:lang w:val="en-US"/>
        </w:rPr>
        <w:t>As of 2016, the Global Burden of Disease project assigned four out of five stars for the system’s coverage and quality of cause of death ascertainment,</w:t>
      </w:r>
      <w:r w:rsidRPr="007F4C3C">
        <w:rPr>
          <w:noProof/>
          <w:vertAlign w:val="superscript"/>
          <w:lang w:val="en-US"/>
        </w:rPr>
        <w:t>15</w:t>
      </w:r>
      <w:r>
        <w:rPr>
          <w:lang w:val="en-US"/>
        </w:rPr>
        <w:t xml:space="preserve"> and by 2019 5.6% of all deaths were coded as </w:t>
      </w:r>
      <w:r w:rsidRPr="00B502DF">
        <w:rPr>
          <w:lang w:val="en-US"/>
        </w:rPr>
        <w:t>due to ill-defined causes (</w:t>
      </w:r>
      <w:proofErr w:type="spellStart"/>
      <w:r w:rsidRPr="00B502DF">
        <w:rPr>
          <w:lang w:val="en-US"/>
        </w:rPr>
        <w:t>França</w:t>
      </w:r>
      <w:proofErr w:type="spellEnd"/>
      <w:r w:rsidRPr="00B502DF">
        <w:rPr>
          <w:lang w:val="en-US"/>
        </w:rPr>
        <w:t xml:space="preserve"> GA, unpublished data). </w:t>
      </w:r>
      <w:r>
        <w:rPr>
          <w:lang w:val="en-US"/>
        </w:rPr>
        <w:t>We analyzed d</w:t>
      </w:r>
      <w:r w:rsidRPr="00B502DF">
        <w:rPr>
          <w:lang w:val="en-US"/>
        </w:rPr>
        <w:t>eaths for which the underlying cause was coded as B34.2</w:t>
      </w:r>
      <w:r>
        <w:rPr>
          <w:lang w:val="en-US"/>
        </w:rPr>
        <w:t>, which included codes U07.1 (COVID-19, virus identified) and U07.2 (COVID-19, virus not identified).</w:t>
      </w:r>
      <w:r w:rsidRPr="007F4C3C">
        <w:rPr>
          <w:noProof/>
          <w:vertAlign w:val="superscript"/>
          <w:lang w:val="en-US"/>
        </w:rPr>
        <w:t>16</w:t>
      </w:r>
      <w:r>
        <w:rPr>
          <w:lang w:val="en-US"/>
        </w:rPr>
        <w:t xml:space="preserve"> For 84% of 2021 deaths, presence of the virus was confirmed in a laboratory (preliminary results based on investigation of 163,637 deaths).</w:t>
      </w:r>
    </w:p>
    <w:p w14:paraId="7E1890CC" w14:textId="77777777" w:rsidR="00CA4C41" w:rsidRDefault="00CA4C41" w:rsidP="00B73AD7">
      <w:pPr>
        <w:spacing w:line="276" w:lineRule="auto"/>
        <w:rPr>
          <w:lang w:val="en-US"/>
        </w:rPr>
      </w:pPr>
      <w:r w:rsidRPr="005A7876">
        <w:rPr>
          <w:lang w:val="en-US"/>
        </w:rPr>
        <w:t xml:space="preserve">Data on COVID-19 </w:t>
      </w:r>
      <w:r>
        <w:rPr>
          <w:lang w:val="en-US"/>
        </w:rPr>
        <w:t>vaccination</w:t>
      </w:r>
      <w:r w:rsidRPr="005A7876">
        <w:rPr>
          <w:lang w:val="en-US"/>
        </w:rPr>
        <w:t xml:space="preserve"> coverage were obtained from a dataset made available by the Brazilian Ministry of Health.</w:t>
      </w:r>
      <w:r w:rsidRPr="007F4C3C">
        <w:rPr>
          <w:noProof/>
          <w:vertAlign w:val="superscript"/>
          <w:lang w:val="en-US"/>
        </w:rPr>
        <w:t>6</w:t>
      </w:r>
      <w:r>
        <w:rPr>
          <w:lang w:val="en-US"/>
        </w:rPr>
        <w:t xml:space="preserve"> </w:t>
      </w:r>
      <w:r w:rsidRPr="005A7876">
        <w:rPr>
          <w:lang w:val="en-US"/>
        </w:rPr>
        <w:t xml:space="preserve">The data are updated daily and </w:t>
      </w:r>
      <w:r>
        <w:rPr>
          <w:lang w:val="en-US"/>
        </w:rPr>
        <w:t xml:space="preserve">consist of </w:t>
      </w:r>
      <w:r w:rsidRPr="005A7876">
        <w:rPr>
          <w:lang w:val="en-US"/>
        </w:rPr>
        <w:t xml:space="preserve">an individual level dataset including personal information and information on the vaccination (type </w:t>
      </w:r>
      <w:r>
        <w:rPr>
          <w:lang w:val="en-US"/>
        </w:rPr>
        <w:t>and dose</w:t>
      </w:r>
      <w:r w:rsidRPr="005A7876">
        <w:rPr>
          <w:lang w:val="en-US"/>
        </w:rPr>
        <w:t xml:space="preserve">) along with whether it is the first or second dose received and the priority group for the person vaccinated. The data used here </w:t>
      </w:r>
      <w:r>
        <w:rPr>
          <w:lang w:val="en-US"/>
        </w:rPr>
        <w:t>were up to May 15,</w:t>
      </w:r>
      <w:r w:rsidRPr="005A7876">
        <w:rPr>
          <w:lang w:val="en-US"/>
        </w:rPr>
        <w:t xml:space="preserve"> 2021.</w:t>
      </w:r>
      <w:r>
        <w:rPr>
          <w:lang w:val="en-US"/>
        </w:rPr>
        <w:t xml:space="preserve"> </w:t>
      </w:r>
    </w:p>
    <w:p w14:paraId="0F77D2CE" w14:textId="77777777" w:rsidR="00CA4C41" w:rsidRDefault="00CA4C41" w:rsidP="00B73AD7">
      <w:pPr>
        <w:spacing w:line="276" w:lineRule="auto"/>
        <w:rPr>
          <w:lang w:val="en-US"/>
        </w:rPr>
      </w:pPr>
      <w:r w:rsidRPr="00AE7DA8">
        <w:rPr>
          <w:lang w:val="en-US"/>
        </w:rPr>
        <w:lastRenderedPageBreak/>
        <w:t xml:space="preserve">Population estimates for </w:t>
      </w:r>
      <w:r>
        <w:rPr>
          <w:lang w:val="en-US"/>
        </w:rPr>
        <w:t>July 1</w:t>
      </w:r>
      <w:r w:rsidRPr="00AE7DA8">
        <w:rPr>
          <w:vertAlign w:val="superscript"/>
          <w:lang w:val="en-US"/>
        </w:rPr>
        <w:t>st</w:t>
      </w:r>
      <w:r>
        <w:rPr>
          <w:lang w:val="en-US"/>
        </w:rPr>
        <w:t xml:space="preserve"> 2020 </w:t>
      </w:r>
      <w:r w:rsidRPr="00AE7DA8">
        <w:rPr>
          <w:lang w:val="en-US"/>
        </w:rPr>
        <w:t>by single age and sex were obtained from the Brazilian Institute for Geography and Statistics</w:t>
      </w:r>
      <w:r>
        <w:rPr>
          <w:lang w:val="en-US"/>
        </w:rPr>
        <w:t xml:space="preserve"> (IBGE).</w:t>
      </w:r>
      <w:r w:rsidRPr="007F4C3C">
        <w:rPr>
          <w:noProof/>
          <w:vertAlign w:val="superscript"/>
          <w:lang w:val="en-US"/>
        </w:rPr>
        <w:t>17</w:t>
      </w:r>
      <w:r>
        <w:rPr>
          <w:lang w:val="en-US"/>
        </w:rPr>
        <w:t xml:space="preserve"> Due to the excess mortality observed in 2020 and the higher COVID-19 mortality among the elderly,</w:t>
      </w:r>
      <w:r w:rsidRPr="007F4C3C">
        <w:rPr>
          <w:noProof/>
          <w:vertAlign w:val="superscript"/>
          <w:lang w:val="en-US"/>
        </w:rPr>
        <w:t>18</w:t>
      </w:r>
      <w:r>
        <w:rPr>
          <w:lang w:val="en-US"/>
        </w:rPr>
        <w:t xml:space="preserve"> the population numbers from IBGE for 2020 are overestimated, particularly at older ages. Since vaccination started in Brazil in early January 2021, it is imperative to obtain an adjusted estimated population that more closely reflects the Brazilian population by the end of 2020. We considered the total deaths that were reported in 2020 (for all causes, as reported in the Mortality Information System), and the expected deaths as implied in the IBGE estimates. We excluded the additional number of deaths from the published 2020 estimates and used that adjusted population as the denominator in our analyses. All adjustments were made by age and sex. All calculations were done in R </w:t>
      </w:r>
      <w:r w:rsidRPr="00B502DF">
        <w:rPr>
          <w:lang w:val="en-US"/>
        </w:rPr>
        <w:t>(R core team, 2020).</w:t>
      </w:r>
    </w:p>
    <w:p w14:paraId="02DEEF0C" w14:textId="77777777" w:rsidR="00CA4C41" w:rsidRDefault="00CA4C41" w:rsidP="00E20E73">
      <w:pPr>
        <w:spacing w:line="276" w:lineRule="auto"/>
        <w:rPr>
          <w:lang w:val="en-US"/>
        </w:rPr>
      </w:pPr>
      <w:r w:rsidRPr="0013792D">
        <w:rPr>
          <w:lang w:val="en-US"/>
        </w:rPr>
        <w:t xml:space="preserve">Mortality results were </w:t>
      </w:r>
      <w:r>
        <w:rPr>
          <w:lang w:val="en-US"/>
        </w:rPr>
        <w:t>analyzed</w:t>
      </w:r>
      <w:r w:rsidRPr="0013792D">
        <w:rPr>
          <w:lang w:val="en-US"/>
        </w:rPr>
        <w:t xml:space="preserve"> i</w:t>
      </w:r>
      <w:r>
        <w:rPr>
          <w:lang w:val="en-US"/>
        </w:rPr>
        <w:t>n two ways. First, we calculated proportionate mortality by dividing the number of COVID-19 deaths at ages 70-79 and 80+ years by the total number of COVID-19 deaths at all ages. Our main analyses described mortality by epidemiological week in 2021, which are supported by analyses by month of death during 2020. To investigate whether age-specific trends in proportionate mortality were specific to COVID-19 deaths, we also investigated trends due to other causes of death. Second, we calculated COVID-19 age-specific mortality rates by dividing the numbers of weekly deaths from the Mortality Information System by the estimated population by age group, as described</w:t>
      </w:r>
      <w:r w:rsidDel="006B0AA8">
        <w:rPr>
          <w:lang w:val="en-US"/>
        </w:rPr>
        <w:t xml:space="preserve"> </w:t>
      </w:r>
      <w:r>
        <w:rPr>
          <w:lang w:val="en-US"/>
        </w:rPr>
        <w:t xml:space="preserve">above. Mortality rates at ages 70-79 and 80+ years were then divided by rates for the age range 0-9 years in the same week, resulting in mortality rate ratios. </w:t>
      </w:r>
    </w:p>
    <w:p w14:paraId="3D855A67" w14:textId="77777777" w:rsidR="00CA4C41" w:rsidRDefault="00CA4C41" w:rsidP="00B73AD7">
      <w:pPr>
        <w:spacing w:line="276" w:lineRule="auto"/>
        <w:rPr>
          <w:lang w:val="en-US"/>
        </w:rPr>
      </w:pPr>
      <w:r>
        <w:rPr>
          <w:lang w:val="en-US"/>
        </w:rPr>
        <w:t>Formal statistical tests were not performed as all results are based on the full country population, rather than samples. Analyses were carried out using Stata version 16 (</w:t>
      </w:r>
      <w:proofErr w:type="spellStart"/>
      <w:r>
        <w:rPr>
          <w:lang w:val="en-US"/>
        </w:rPr>
        <w:t>StataCorp</w:t>
      </w:r>
      <w:proofErr w:type="spellEnd"/>
      <w:r>
        <w:rPr>
          <w:lang w:val="en-US"/>
        </w:rPr>
        <w:t xml:space="preserve">, College Station, TX, USA). All analyses were based on publicly available, anonymized databases. </w:t>
      </w:r>
    </w:p>
    <w:p w14:paraId="3FEA005B" w14:textId="77777777" w:rsidR="00CA4C41" w:rsidRDefault="00CA4C41" w:rsidP="00B73AD7">
      <w:pPr>
        <w:pStyle w:val="Heading1"/>
        <w:spacing w:line="276" w:lineRule="auto"/>
        <w:rPr>
          <w:lang w:val="en-US"/>
        </w:rPr>
      </w:pPr>
      <w:r w:rsidRPr="00695B82">
        <w:rPr>
          <w:lang w:val="en-US"/>
        </w:rPr>
        <w:t>Results</w:t>
      </w:r>
    </w:p>
    <w:p w14:paraId="0F1C72DC" w14:textId="77777777" w:rsidR="00CA4C41" w:rsidRDefault="00CA4C41" w:rsidP="00B73AD7">
      <w:pPr>
        <w:spacing w:line="276" w:lineRule="auto"/>
        <w:rPr>
          <w:lang w:val="en-US"/>
        </w:rPr>
      </w:pPr>
      <w:r>
        <w:rPr>
          <w:lang w:val="en-US"/>
        </w:rPr>
        <w:t>From the beginning of the first epidemiological week in 2021 (January 3) to May 27</w:t>
      </w:r>
      <w:r w:rsidRPr="00AA3EA4">
        <w:rPr>
          <w:lang w:val="en-US"/>
        </w:rPr>
        <w:t xml:space="preserve">, </w:t>
      </w:r>
      <w:r>
        <w:rPr>
          <w:lang w:val="en-US"/>
        </w:rPr>
        <w:t>238,414</w:t>
      </w:r>
      <w:r w:rsidRPr="00AA3EA4">
        <w:rPr>
          <w:lang w:val="en-US"/>
        </w:rPr>
        <w:t xml:space="preserve"> deaths</w:t>
      </w:r>
      <w:r>
        <w:rPr>
          <w:lang w:val="en-US"/>
        </w:rPr>
        <w:t xml:space="preserve"> in the Mortality Information System were assigned to COVID-19 and 447,817 to other causes. Supplementary Table 1 shows the absolute number of COVID-19 deaths for epidemiological weeks 1-19  of 2021 (January 3 to May 15). There was rapid acceleration in deaths from week 9 (early March) when the gamma variant became the dominant strain. Results for weeks 17-19 (April 25 to May 15) are likely affected by registration delay but remain useful for comparing age-specific proportionate mortality and mortality rate ratios. Table 1 does not include deaths occurring after  epidemiological week 19 (May 16 or later) as these are more markedly affected by delay than earlier deaths.</w:t>
      </w:r>
    </w:p>
    <w:p w14:paraId="516F268E" w14:textId="77777777" w:rsidR="00CA4C41" w:rsidRDefault="00CA4C41" w:rsidP="00B73AD7">
      <w:pPr>
        <w:spacing w:line="276" w:lineRule="auto"/>
        <w:rPr>
          <w:lang w:val="en-US"/>
        </w:rPr>
      </w:pPr>
      <w:r>
        <w:rPr>
          <w:lang w:val="en-US"/>
        </w:rPr>
        <w:t>Figure 1 shows that proportionate COVID-19 mortality of individuals aged 80+ years fell rapidly from week 6 onwards, whereas proportionate mortality due to no</w:t>
      </w:r>
      <w:r w:rsidRPr="002558B0">
        <w:rPr>
          <w:lang w:val="en-US"/>
        </w:rPr>
        <w:t>n-COVID causes remained relatively stable at just under 30%. Up to May 27, an additional</w:t>
      </w:r>
      <w:r w:rsidRPr="00866018">
        <w:rPr>
          <w:lang w:val="en-US"/>
        </w:rPr>
        <w:t xml:space="preserve"> 7,733</w:t>
      </w:r>
      <w:r w:rsidRPr="002558B0">
        <w:rPr>
          <w:lang w:val="en-US"/>
        </w:rPr>
        <w:t xml:space="preserve"> deaths had been reported for epidemiological weeks </w:t>
      </w:r>
      <w:r w:rsidRPr="00866018">
        <w:rPr>
          <w:lang w:val="en-US"/>
        </w:rPr>
        <w:t xml:space="preserve">20 and 21, </w:t>
      </w:r>
      <w:r w:rsidRPr="002558B0">
        <w:rPr>
          <w:lang w:val="en-US"/>
        </w:rPr>
        <w:t>of which 1</w:t>
      </w:r>
      <w:r w:rsidRPr="00866018">
        <w:rPr>
          <w:lang w:val="en-US"/>
        </w:rPr>
        <w:t>3.1</w:t>
      </w:r>
      <w:r w:rsidRPr="002558B0">
        <w:rPr>
          <w:lang w:val="en-US"/>
        </w:rPr>
        <w:t xml:space="preserve">% were among individuals aged 80+, a finding that is consistent with </w:t>
      </w:r>
      <w:r w:rsidRPr="00866018">
        <w:rPr>
          <w:lang w:val="en-US"/>
        </w:rPr>
        <w:t>the levels achieved by week 15.</w:t>
      </w:r>
      <w:r>
        <w:rPr>
          <w:lang w:val="en-US"/>
        </w:rPr>
        <w:t xml:space="preserve"> Figure 1 also shows that proportionate mortality for individuals aged 70-79 years remained at around 25% up to week 15, when it started to decline sharply. For the same age group, proportionate mortality due to other causes remained stable at just over 20% of deaths at any age.</w:t>
      </w:r>
    </w:p>
    <w:p w14:paraId="3026FE1D" w14:textId="77777777" w:rsidR="00CA4C41" w:rsidRPr="00F77C83" w:rsidRDefault="00CA4C41" w:rsidP="00B73AD7">
      <w:pPr>
        <w:spacing w:line="276" w:lineRule="auto"/>
        <w:rPr>
          <w:b/>
          <w:bCs/>
          <w:lang w:val="en-US"/>
        </w:rPr>
      </w:pPr>
      <w:r w:rsidRPr="00F77C83">
        <w:rPr>
          <w:b/>
          <w:bCs/>
          <w:lang w:val="en-US"/>
        </w:rPr>
        <w:lastRenderedPageBreak/>
        <w:t>Figure 1.</w:t>
      </w:r>
      <w:bookmarkStart w:id="1" w:name="_Hlk74385103"/>
      <w:r w:rsidRPr="00F77C83">
        <w:rPr>
          <w:b/>
          <w:bCs/>
          <w:lang w:val="en-US"/>
        </w:rPr>
        <w:t xml:space="preserve"> Proportionate mortality of individuals aged</w:t>
      </w:r>
      <w:r>
        <w:rPr>
          <w:b/>
          <w:bCs/>
          <w:lang w:val="en-US"/>
        </w:rPr>
        <w:t xml:space="preserve"> 70-79 and</w:t>
      </w:r>
      <w:r w:rsidRPr="00F77C83">
        <w:rPr>
          <w:b/>
          <w:bCs/>
          <w:lang w:val="en-US"/>
        </w:rPr>
        <w:t xml:space="preserve"> 80 or more years</w:t>
      </w:r>
      <w:r>
        <w:rPr>
          <w:b/>
          <w:bCs/>
          <w:lang w:val="en-US"/>
        </w:rPr>
        <w:t xml:space="preserve"> due to COVID-19 and all other causes,</w:t>
      </w:r>
      <w:r w:rsidRPr="00F77C83">
        <w:rPr>
          <w:b/>
          <w:bCs/>
          <w:lang w:val="en-US"/>
        </w:rPr>
        <w:t xml:space="preserve"> relative to deaths </w:t>
      </w:r>
      <w:r>
        <w:rPr>
          <w:b/>
          <w:bCs/>
          <w:lang w:val="en-US"/>
        </w:rPr>
        <w:t xml:space="preserve">due to the same causes </w:t>
      </w:r>
      <w:r w:rsidRPr="00F77C83">
        <w:rPr>
          <w:b/>
          <w:bCs/>
          <w:lang w:val="en-US"/>
        </w:rPr>
        <w:t xml:space="preserve">at all ages </w:t>
      </w:r>
      <w:r>
        <w:rPr>
          <w:b/>
          <w:bCs/>
          <w:lang w:val="en-US"/>
        </w:rPr>
        <w:t xml:space="preserve">by epidemiological weeks, </w:t>
      </w:r>
      <w:r w:rsidRPr="00F77C83">
        <w:rPr>
          <w:b/>
          <w:bCs/>
          <w:lang w:val="en-US"/>
        </w:rPr>
        <w:t xml:space="preserve">Brazil, 2021. </w:t>
      </w:r>
      <w:bookmarkEnd w:id="1"/>
    </w:p>
    <w:p w14:paraId="62EF60EB" w14:textId="77777777" w:rsidR="00CA4C41" w:rsidRDefault="00CA4C41" w:rsidP="00B73AD7">
      <w:pPr>
        <w:spacing w:line="276" w:lineRule="auto"/>
        <w:jc w:val="center"/>
        <w:rPr>
          <w:lang w:val="en-US"/>
        </w:rPr>
      </w:pPr>
    </w:p>
    <w:p w14:paraId="14661507" w14:textId="77777777" w:rsidR="00CA4C41" w:rsidRDefault="00CA4C41" w:rsidP="00B73AD7">
      <w:pPr>
        <w:spacing w:line="276" w:lineRule="auto"/>
        <w:jc w:val="center"/>
        <w:rPr>
          <w:lang w:val="en-US"/>
        </w:rPr>
      </w:pPr>
      <w:r>
        <w:rPr>
          <w:noProof/>
        </w:rPr>
        <w:drawing>
          <wp:inline distT="0" distB="0" distL="0" distR="0" wp14:anchorId="5ADD386A" wp14:editId="73CA0EA6">
            <wp:extent cx="4613910" cy="2798859"/>
            <wp:effectExtent l="0" t="0" r="0" b="0"/>
            <wp:docPr id="13" name="Chart 13">
              <a:extLst xmlns:a="http://schemas.openxmlformats.org/drawingml/2006/main">
                <a:ext uri="{FF2B5EF4-FFF2-40B4-BE49-F238E27FC236}">
                  <a16:creationId xmlns:a16="http://schemas.microsoft.com/office/drawing/2014/main" id="{CD7ABFBB-2CCA-4EEA-9475-5DE50CB4B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417879" w14:textId="77777777" w:rsidR="00CA4C41" w:rsidRDefault="00CA4C41" w:rsidP="00B73AD7">
      <w:pPr>
        <w:spacing w:line="276" w:lineRule="auto"/>
        <w:rPr>
          <w:lang w:val="en-US"/>
        </w:rPr>
      </w:pPr>
    </w:p>
    <w:p w14:paraId="09B78603" w14:textId="77777777" w:rsidR="00CA4C41" w:rsidRDefault="00CA4C41" w:rsidP="00B73AD7">
      <w:pPr>
        <w:spacing w:line="276" w:lineRule="auto"/>
        <w:rPr>
          <w:lang w:val="en-US"/>
        </w:rPr>
      </w:pPr>
      <w:r>
        <w:rPr>
          <w:lang w:val="en-US"/>
        </w:rPr>
        <w:t xml:space="preserve">Supplementary </w:t>
      </w:r>
      <w:r w:rsidRPr="00F72EC1">
        <w:rPr>
          <w:lang w:val="en-US"/>
        </w:rPr>
        <w:t xml:space="preserve">Figure </w:t>
      </w:r>
      <w:r>
        <w:rPr>
          <w:lang w:val="en-US"/>
        </w:rPr>
        <w:t>1 s</w:t>
      </w:r>
      <w:r w:rsidRPr="00F72EC1">
        <w:rPr>
          <w:lang w:val="en-US"/>
        </w:rPr>
        <w:t>hows that proportionate mortality at ages 80</w:t>
      </w:r>
      <w:r>
        <w:rPr>
          <w:lang w:val="en-US"/>
        </w:rPr>
        <w:t>+ years</w:t>
      </w:r>
      <w:r w:rsidRPr="00F72EC1">
        <w:rPr>
          <w:lang w:val="en-US"/>
        </w:rPr>
        <w:t xml:space="preserve"> fell in all regions of the country. The trend was less marked in the North </w:t>
      </w:r>
      <w:r>
        <w:rPr>
          <w:lang w:val="en-US"/>
        </w:rPr>
        <w:t xml:space="preserve">region </w:t>
      </w:r>
      <w:r w:rsidRPr="00F72EC1">
        <w:rPr>
          <w:lang w:val="en-US"/>
        </w:rPr>
        <w:t>(</w:t>
      </w:r>
      <w:r>
        <w:rPr>
          <w:lang w:val="en-US"/>
        </w:rPr>
        <w:t xml:space="preserve">where the </w:t>
      </w:r>
      <w:r w:rsidRPr="00F72EC1">
        <w:rPr>
          <w:lang w:val="en-US"/>
        </w:rPr>
        <w:t>Amazon</w:t>
      </w:r>
      <w:r>
        <w:rPr>
          <w:lang w:val="en-US"/>
        </w:rPr>
        <w:t xml:space="preserve"> is located</w:t>
      </w:r>
      <w:r w:rsidRPr="00F72EC1">
        <w:rPr>
          <w:lang w:val="en-US"/>
        </w:rPr>
        <w:t>)</w:t>
      </w:r>
      <w:r>
        <w:rPr>
          <w:lang w:val="en-US"/>
        </w:rPr>
        <w:t xml:space="preserve"> than in the rest of the country. Supplementary Figure 2 expands the time series by showing proportionate mortality based on 453,244 COVID-19 deaths that occurred since the beginning of the pandemic in the country. From May 2020 (when the monthly number of deaths exceeded 15,000) to January 2021, proportionate mortality at ages 80+ remained between 25% and 30%, with a sharp reduction starting in mid-February 2021. Proportionate mortality at ages 70-79 years remained above 20% until March 2021, with a substantial decline in April-May. Also showing data for 2020 and 2021, Supplementary Figure 3 demonstrates that the decline in proportionate mortality was observed for men and women, although proportionate mortality for women aged 80+ years tended to be higher than for men, likely due to higher life expectancy of women resulting in fewer deaths in those aged under 80 years. </w:t>
      </w:r>
    </w:p>
    <w:p w14:paraId="609CE293" w14:textId="77777777" w:rsidR="00CA4C41" w:rsidRDefault="00CA4C41">
      <w:pPr>
        <w:spacing w:line="276" w:lineRule="auto"/>
        <w:rPr>
          <w:lang w:val="en-US"/>
        </w:rPr>
      </w:pPr>
      <w:r>
        <w:rPr>
          <w:lang w:val="en-US"/>
        </w:rPr>
        <w:t>Figure 2 shows time trends in mortality rate ratios using the age group 0-69 years as the reference. The mortality rate ratio for persons aged 80+ years fell from over 13.3 in January and early February to 8.0 in week 19. The decline in the rate ratio for ages 70-79 was more gradual, from 13.8 in week 1 to 5.0 in week 19. Mortality rate ratios for non-COVID causes remained stable over time.</w:t>
      </w:r>
    </w:p>
    <w:p w14:paraId="7DAD1829" w14:textId="77777777" w:rsidR="00CA4C41" w:rsidRDefault="00CA4C41">
      <w:pPr>
        <w:rPr>
          <w:b/>
          <w:bCs/>
          <w:lang w:val="en-US"/>
        </w:rPr>
      </w:pPr>
      <w:r>
        <w:rPr>
          <w:b/>
          <w:bCs/>
          <w:lang w:val="en-US"/>
        </w:rPr>
        <w:br w:type="page"/>
      </w:r>
    </w:p>
    <w:p w14:paraId="7484D946" w14:textId="77777777" w:rsidR="00CA4C41" w:rsidRPr="004B34A5" w:rsidRDefault="00CA4C41" w:rsidP="00B73AD7">
      <w:pPr>
        <w:spacing w:line="276" w:lineRule="auto"/>
        <w:rPr>
          <w:b/>
          <w:bCs/>
          <w:lang w:val="en-US"/>
        </w:rPr>
      </w:pPr>
      <w:r w:rsidRPr="00F978D6">
        <w:rPr>
          <w:b/>
          <w:bCs/>
          <w:lang w:val="en-US"/>
        </w:rPr>
        <w:lastRenderedPageBreak/>
        <w:t xml:space="preserve">Figure </w:t>
      </w:r>
      <w:r>
        <w:rPr>
          <w:b/>
          <w:bCs/>
          <w:lang w:val="en-US"/>
        </w:rPr>
        <w:t>2</w:t>
      </w:r>
      <w:r w:rsidRPr="00F978D6">
        <w:rPr>
          <w:b/>
          <w:bCs/>
          <w:lang w:val="en-US"/>
        </w:rPr>
        <w:t xml:space="preserve">. </w:t>
      </w:r>
      <w:r w:rsidRPr="004B34A5">
        <w:rPr>
          <w:b/>
          <w:bCs/>
          <w:lang w:val="en-US"/>
        </w:rPr>
        <w:t xml:space="preserve">Mortality rate ratios: mortality </w:t>
      </w:r>
      <w:r>
        <w:rPr>
          <w:b/>
          <w:bCs/>
          <w:lang w:val="en-US"/>
        </w:rPr>
        <w:t xml:space="preserve">rates </w:t>
      </w:r>
      <w:r w:rsidRPr="004B34A5">
        <w:rPr>
          <w:b/>
          <w:bCs/>
          <w:lang w:val="en-US"/>
        </w:rPr>
        <w:t>at ages</w:t>
      </w:r>
      <w:r>
        <w:rPr>
          <w:b/>
          <w:bCs/>
          <w:lang w:val="en-US"/>
        </w:rPr>
        <w:t xml:space="preserve"> 70-79 and</w:t>
      </w:r>
      <w:r w:rsidRPr="004B34A5">
        <w:rPr>
          <w:b/>
          <w:bCs/>
          <w:lang w:val="en-US"/>
        </w:rPr>
        <w:t xml:space="preserve"> 80+ years divided by mortality </w:t>
      </w:r>
      <w:r>
        <w:rPr>
          <w:b/>
          <w:bCs/>
          <w:lang w:val="en-US"/>
        </w:rPr>
        <w:t xml:space="preserve">rate </w:t>
      </w:r>
      <w:r w:rsidRPr="004B34A5">
        <w:rPr>
          <w:b/>
          <w:bCs/>
          <w:lang w:val="en-US"/>
        </w:rPr>
        <w:t>at ages 0-</w:t>
      </w:r>
      <w:r>
        <w:rPr>
          <w:b/>
          <w:bCs/>
          <w:lang w:val="en-US"/>
        </w:rPr>
        <w:t>6</w:t>
      </w:r>
      <w:r w:rsidRPr="004B34A5">
        <w:rPr>
          <w:b/>
          <w:bCs/>
          <w:lang w:val="en-US"/>
        </w:rPr>
        <w:t>9 years</w:t>
      </w:r>
      <w:r>
        <w:rPr>
          <w:b/>
          <w:bCs/>
          <w:lang w:val="en-US"/>
        </w:rPr>
        <w:t xml:space="preserve"> by epidemiological weeks, Brazil 2021</w:t>
      </w:r>
      <w:r w:rsidRPr="004B34A5">
        <w:rPr>
          <w:b/>
          <w:bCs/>
          <w:lang w:val="en-US"/>
        </w:rPr>
        <w:t xml:space="preserve">. </w:t>
      </w:r>
    </w:p>
    <w:p w14:paraId="2790405A" w14:textId="77777777" w:rsidR="00CA4C41" w:rsidRPr="004B34A5" w:rsidRDefault="00CA4C41" w:rsidP="00B73AD7">
      <w:pPr>
        <w:spacing w:line="276" w:lineRule="auto"/>
        <w:jc w:val="center"/>
        <w:rPr>
          <w:sz w:val="24"/>
          <w:szCs w:val="24"/>
          <w:lang w:val="en-US"/>
        </w:rPr>
      </w:pPr>
      <w:r>
        <w:rPr>
          <w:noProof/>
        </w:rPr>
        <w:drawing>
          <wp:inline distT="0" distB="0" distL="0" distR="0" wp14:anchorId="29A0F5D6" wp14:editId="1F03CC37">
            <wp:extent cx="4563533" cy="2792589"/>
            <wp:effectExtent l="0" t="0" r="0" b="0"/>
            <wp:docPr id="12" name="Chart 12">
              <a:extLst xmlns:a="http://schemas.openxmlformats.org/drawingml/2006/main">
                <a:ext uri="{FF2B5EF4-FFF2-40B4-BE49-F238E27FC236}">
                  <a16:creationId xmlns:a16="http://schemas.microsoft.com/office/drawing/2014/main" id="{BC08E3B9-442C-4EDA-8172-0042D6B1C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EAFA9F" w14:textId="585BF4B8" w:rsidR="00CA4C41" w:rsidRDefault="00CA4C41" w:rsidP="00B73AD7">
      <w:pPr>
        <w:spacing w:line="276" w:lineRule="auto"/>
        <w:rPr>
          <w:b/>
          <w:bCs/>
          <w:lang w:val="en-US"/>
        </w:rPr>
      </w:pPr>
      <w:r>
        <w:rPr>
          <w:lang w:val="en-US"/>
        </w:rPr>
        <w:t xml:space="preserve">Figure 3 shows vaccine coverage for individuals aged 70-79 and 80+ years over time. The increase in coverage was consistent with prioritization of older population groups, with 50% coverage reached for individuals aged 80+ years in the first half of February and over 80% by the second half, stabilizing at around 95% in March. For 70–79-year-olds, 50% coverage was reached by week 11 and 90% coverage by week 19. Coverage among younger age groups was largely restricted to priority groups including health workers, indigenous peoples and people living in institutions.  In weeks 1-4, Coronavac accounted for 65.4% of all doses given and AstraZeneca for 29.8% whereas the corresponding percentages for weeks 15-19 were 36.5% and 53.3%. Pfizer/BioNTech (Germany) and Serum Institute (India) accounted for the remaining doses in the recent period. </w:t>
      </w:r>
      <w:r>
        <w:rPr>
          <w:lang w:val="en-US"/>
        </w:rPr>
        <w:br/>
      </w:r>
      <w:r w:rsidRPr="00100347">
        <w:rPr>
          <w:b/>
          <w:bCs/>
          <w:lang w:val="en-US"/>
        </w:rPr>
        <w:t xml:space="preserve">Figure </w:t>
      </w:r>
      <w:r>
        <w:rPr>
          <w:b/>
          <w:bCs/>
          <w:lang w:val="en-US"/>
        </w:rPr>
        <w:t>3</w:t>
      </w:r>
      <w:r w:rsidRPr="00100347">
        <w:rPr>
          <w:b/>
          <w:bCs/>
          <w:lang w:val="en-US"/>
        </w:rPr>
        <w:t xml:space="preserve">. </w:t>
      </w:r>
      <w:r>
        <w:rPr>
          <w:b/>
          <w:bCs/>
          <w:lang w:val="en-US"/>
        </w:rPr>
        <w:t>Covid-19 v</w:t>
      </w:r>
      <w:r w:rsidRPr="00100347">
        <w:rPr>
          <w:b/>
          <w:bCs/>
          <w:lang w:val="en-US"/>
        </w:rPr>
        <w:t>accination coverage</w:t>
      </w:r>
      <w:r>
        <w:rPr>
          <w:b/>
          <w:bCs/>
          <w:lang w:val="en-US"/>
        </w:rPr>
        <w:t xml:space="preserve"> (first dose)</w:t>
      </w:r>
      <w:r w:rsidRPr="00100347">
        <w:rPr>
          <w:b/>
          <w:bCs/>
          <w:lang w:val="en-US"/>
        </w:rPr>
        <w:t xml:space="preserve"> </w:t>
      </w:r>
      <w:r>
        <w:rPr>
          <w:b/>
          <w:bCs/>
          <w:lang w:val="en-US"/>
        </w:rPr>
        <w:t xml:space="preserve">by age group by epidemiological week, </w:t>
      </w:r>
      <w:r w:rsidRPr="00100347">
        <w:rPr>
          <w:b/>
          <w:bCs/>
          <w:lang w:val="en-US"/>
        </w:rPr>
        <w:t xml:space="preserve">Brazil, 2021. </w:t>
      </w:r>
    </w:p>
    <w:p w14:paraId="599D612E" w14:textId="77777777" w:rsidR="00CA4C41" w:rsidRDefault="00CA4C41">
      <w:pPr>
        <w:spacing w:line="276" w:lineRule="auto"/>
        <w:jc w:val="center"/>
        <w:rPr>
          <w:b/>
          <w:bCs/>
          <w:lang w:val="en-US"/>
        </w:rPr>
      </w:pPr>
      <w:r>
        <w:rPr>
          <w:noProof/>
        </w:rPr>
        <w:drawing>
          <wp:inline distT="0" distB="0" distL="0" distR="0" wp14:anchorId="6FBE19AB" wp14:editId="6AEB9E18">
            <wp:extent cx="4572000" cy="2743200"/>
            <wp:effectExtent l="0" t="0" r="0" b="0"/>
            <wp:docPr id="11" name="Chart 11">
              <a:extLst xmlns:a="http://schemas.openxmlformats.org/drawingml/2006/main">
                <a:ext uri="{FF2B5EF4-FFF2-40B4-BE49-F238E27FC236}">
                  <a16:creationId xmlns:a16="http://schemas.microsoft.com/office/drawing/2014/main" id="{007549B0-DBD6-434E-AFCC-185D3EC033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EC7F2E" w14:textId="77777777" w:rsidR="00CA4C41" w:rsidRDefault="00CA4C41" w:rsidP="00A74D2E">
      <w:pPr>
        <w:spacing w:line="276" w:lineRule="auto"/>
        <w:rPr>
          <w:lang w:val="en-US"/>
        </w:rPr>
      </w:pPr>
      <w:r w:rsidRPr="00A74D2E">
        <w:rPr>
          <w:lang w:val="en-US"/>
        </w:rPr>
        <w:lastRenderedPageBreak/>
        <w:t>The downturn in proportionate mortality due to COVID-19 started at about the sixth week of 202</w:t>
      </w:r>
      <w:r>
        <w:rPr>
          <w:lang w:val="en-US"/>
        </w:rPr>
        <w:t>1</w:t>
      </w:r>
      <w:r w:rsidRPr="00866018">
        <w:rPr>
          <w:lang w:val="en-US"/>
        </w:rPr>
        <w:t>. Had the number of deaths among individuals aged 80+ years continued to increase at the same rate as deaths among people aged 0-69 y, one would expect 70,015 such deaths during the 13-week period from mid-Feb to mid-May. Yet, 32,624 deaths were reported, or 37,401 fewer than expected under the scenario of similar trends as for the 0-69 years age group.</w:t>
      </w:r>
      <w:r w:rsidRPr="00A74D2E">
        <w:rPr>
          <w:lang w:val="en-US"/>
        </w:rPr>
        <w:t xml:space="preserve"> A similar calculation was performed for deaths among 70–79-year-olds, among whom proportionate mortality started to decline around week 15. Compared to 13,838 deaths in weeks 15-19, 20,238 would be expected if mortality behaved similarly to that observed for 0–69-year-olds. Adding the two estimates, 43,802 deaths may have been avoided by the decline in mortality among the elderly.</w:t>
      </w:r>
      <w:r>
        <w:rPr>
          <w:lang w:val="en-US"/>
        </w:rPr>
        <w:t xml:space="preserve"> </w:t>
      </w:r>
    </w:p>
    <w:p w14:paraId="4AD7D749" w14:textId="77777777" w:rsidR="00CA4C41" w:rsidRDefault="00CA4C41" w:rsidP="00B73AD7">
      <w:pPr>
        <w:spacing w:line="276" w:lineRule="auto"/>
        <w:rPr>
          <w:b/>
          <w:bCs/>
          <w:lang w:val="en-US"/>
        </w:rPr>
      </w:pPr>
    </w:p>
    <w:p w14:paraId="556AE19C" w14:textId="77777777" w:rsidR="00CA4C41" w:rsidRPr="00794210" w:rsidRDefault="00CA4C41" w:rsidP="00B73AD7">
      <w:pPr>
        <w:pStyle w:val="Heading1"/>
        <w:spacing w:line="276" w:lineRule="auto"/>
        <w:rPr>
          <w:lang w:val="en-US"/>
        </w:rPr>
      </w:pPr>
      <w:r w:rsidRPr="00794210">
        <w:rPr>
          <w:lang w:val="en-US"/>
        </w:rPr>
        <w:t>Discussion</w:t>
      </w:r>
    </w:p>
    <w:p w14:paraId="005E1290" w14:textId="77777777" w:rsidR="00CA4C41" w:rsidRDefault="00CA4C41" w:rsidP="00B73AD7">
      <w:pPr>
        <w:spacing w:line="276" w:lineRule="auto"/>
        <w:rPr>
          <w:lang w:val="en-US"/>
        </w:rPr>
      </w:pPr>
      <w:r w:rsidRPr="00395253">
        <w:rPr>
          <w:lang w:val="en-US"/>
        </w:rPr>
        <w:t>We found evidence that, a</w:t>
      </w:r>
      <w:r>
        <w:rPr>
          <w:lang w:val="en-US"/>
        </w:rPr>
        <w:t>lthough dissemination of the gamma variant led to increases in reported COVID-19 death at all ages, the proportion of deaths among the elderly started to fall rapidly from the second half of February 2021. This proportion had been stable at around 25%-30% since the beginning of the epidemic in early 2020 but is now below 13% in May 2021.</w:t>
      </w:r>
    </w:p>
    <w:p w14:paraId="33FADF93" w14:textId="77777777" w:rsidR="00CA4C41" w:rsidRDefault="00CA4C41" w:rsidP="00B73AD7">
      <w:pPr>
        <w:spacing w:line="276" w:lineRule="auto"/>
        <w:rPr>
          <w:lang w:val="en-US"/>
        </w:rPr>
      </w:pPr>
      <w:r>
        <w:rPr>
          <w:lang w:val="en-US"/>
        </w:rPr>
        <w:t>Estimates of proportionate mortality must be interpreted with caution. We now describe how we handled potential caveats in these analyses.</w:t>
      </w:r>
    </w:p>
    <w:p w14:paraId="3A5FEC43" w14:textId="77777777" w:rsidR="00CA4C41" w:rsidRDefault="00CA4C41" w:rsidP="00B73AD7">
      <w:pPr>
        <w:spacing w:line="276" w:lineRule="auto"/>
        <w:rPr>
          <w:lang w:val="en-US"/>
        </w:rPr>
      </w:pPr>
      <w:r w:rsidRPr="00794210">
        <w:rPr>
          <w:lang w:val="en-US"/>
        </w:rPr>
        <w:t>First, the absolute number of deaths in the elderly may be reduced due to smaller number of persons at risk, resulting from high mortality in 2020 due to COVID</w:t>
      </w:r>
      <w:r>
        <w:rPr>
          <w:lang w:val="en-US"/>
        </w:rPr>
        <w:t>-19</w:t>
      </w:r>
      <w:r w:rsidRPr="00794210">
        <w:rPr>
          <w:lang w:val="en-US"/>
        </w:rPr>
        <w:t xml:space="preserve"> and other causes. In an estimated population of approximately 815 thousand Brazilians aged 90+ years in 2020, there were approximately 144 thousand deaths in the calendar year, of which about 10% were reported as being caused by COVID-19. </w:t>
      </w:r>
      <w:r>
        <w:rPr>
          <w:lang w:val="en-US"/>
        </w:rPr>
        <w:t>To address this potential caveat, o</w:t>
      </w:r>
      <w:r w:rsidRPr="00794210">
        <w:rPr>
          <w:lang w:val="en-US"/>
        </w:rPr>
        <w:t xml:space="preserve">ur calculations of mortality rates </w:t>
      </w:r>
      <w:r>
        <w:rPr>
          <w:lang w:val="en-US"/>
        </w:rPr>
        <w:t xml:space="preserve">for </w:t>
      </w:r>
      <w:r w:rsidRPr="00794210">
        <w:rPr>
          <w:lang w:val="en-US"/>
        </w:rPr>
        <w:t xml:space="preserve">2021 were based on population estimates </w:t>
      </w:r>
      <w:r>
        <w:rPr>
          <w:lang w:val="en-US"/>
        </w:rPr>
        <w:t xml:space="preserve">at </w:t>
      </w:r>
      <w:r w:rsidRPr="00794210">
        <w:rPr>
          <w:lang w:val="en-US"/>
        </w:rPr>
        <w:t>the beginning of th</w:t>
      </w:r>
      <w:r>
        <w:rPr>
          <w:lang w:val="en-US"/>
        </w:rPr>
        <w:t xml:space="preserve">e </w:t>
      </w:r>
      <w:r w:rsidRPr="00794210">
        <w:rPr>
          <w:lang w:val="en-US"/>
        </w:rPr>
        <w:t>year from which all-cause deaths had already been deducted.</w:t>
      </w:r>
    </w:p>
    <w:p w14:paraId="0CF790BF" w14:textId="77777777" w:rsidR="00CA4C41" w:rsidRDefault="00CA4C41" w:rsidP="00B73AD7">
      <w:pPr>
        <w:spacing w:line="276" w:lineRule="auto"/>
        <w:rPr>
          <w:lang w:val="en-US"/>
        </w:rPr>
      </w:pPr>
      <w:r w:rsidRPr="00C26BDA">
        <w:rPr>
          <w:lang w:val="en-US"/>
        </w:rPr>
        <w:t>Second, proportionate mortality may b</w:t>
      </w:r>
      <w:r>
        <w:rPr>
          <w:lang w:val="en-US"/>
        </w:rPr>
        <w:t xml:space="preserve">e spuriously reduced among the elderly if the gamma variant of concern disproportionally affected younger individuals, either in terms of infection rates or of infection-fatality rates. The EPICOVID-19 study has been monitoring prevalence of antibodies against SARS-CoV-2 through household surveys in nine large cities in the state of Rio Grande do Sul since April 2020. In early February 2021, antibody prevalence levels were 9.6%, 11.3%, 10.0% and 8.3% for unvaccinated individuals aged 10-19, 20-39, 40-59, and 60+ years, respectively (AJD Barros, personal communication). The state has been strongly affected by the recent pandemic wave, yet there is no evidence of important age patterns in antibody prevalence.  </w:t>
      </w:r>
    </w:p>
    <w:p w14:paraId="1078B107" w14:textId="77777777" w:rsidR="00CA4C41" w:rsidRDefault="00CA4C41" w:rsidP="00B73AD7">
      <w:pPr>
        <w:spacing w:line="276" w:lineRule="auto"/>
        <w:rPr>
          <w:lang w:val="en-US"/>
        </w:rPr>
      </w:pPr>
      <w:r>
        <w:rPr>
          <w:lang w:val="en-US"/>
        </w:rPr>
        <w:t>Thirdly, our results based on ratios of mortality rates closely mirror the findings from the proportionate mortality analyses, showing that the rate ratio for individuals aged 80+ relative to those aged 0-69 years fell from 13.3 in January to 8.0 in April.</w:t>
      </w:r>
    </w:p>
    <w:p w14:paraId="012C1185" w14:textId="77777777" w:rsidR="00CA4C41" w:rsidRDefault="00CA4C41" w:rsidP="00B73AD7">
      <w:pPr>
        <w:spacing w:line="276" w:lineRule="auto"/>
        <w:rPr>
          <w:lang w:val="en-US"/>
        </w:rPr>
      </w:pPr>
      <w:r>
        <w:rPr>
          <w:lang w:val="en-US"/>
        </w:rPr>
        <w:t>Lastly, our analyses of deaths due to causes other than COVID-19 showed that proportionate mortality and mortality rate ratios for the elderly remained stable over time, thus supporting the specificity of an impact on COVID-19 deaths.</w:t>
      </w:r>
    </w:p>
    <w:p w14:paraId="12A8C2BB" w14:textId="77777777" w:rsidR="00CA4C41" w:rsidRPr="00866018" w:rsidRDefault="00CA4C41" w:rsidP="00066C57">
      <w:pPr>
        <w:spacing w:line="276" w:lineRule="auto"/>
        <w:rPr>
          <w:lang w:val="en-US"/>
        </w:rPr>
      </w:pPr>
      <w:r>
        <w:rPr>
          <w:lang w:val="en-US"/>
        </w:rPr>
        <w:lastRenderedPageBreak/>
        <w:t xml:space="preserve">Another potential limitation of our analyses is the underreporting of deaths and delays in reporting. Delays are particularly relevant for estimating mortality rates for recent periods, as only deaths that reached the system by May 27 were included. However, proportionate mortality by age groups would only be affected if delays varied systematically with age, which is unlikely. As discussed in the Introduction, the overall coverage of mortality statistics has been very high in Brazil for many years, and ill-defined causes represent 5.6% of all deaths. </w:t>
      </w:r>
      <w:r w:rsidRPr="00016341">
        <w:rPr>
          <w:lang w:val="en-US"/>
        </w:rPr>
        <w:t xml:space="preserve">The mortality database for the present analyses includes </w:t>
      </w:r>
      <w:r>
        <w:rPr>
          <w:lang w:val="en-US"/>
        </w:rPr>
        <w:t xml:space="preserve">approximately 30% more deaths than the SIVEP-Gripe database on hospital </w:t>
      </w:r>
      <w:r w:rsidRPr="00E3198E">
        <w:rPr>
          <w:lang w:val="en-US"/>
        </w:rPr>
        <w:t>admissions and mortality that has been employed in previous analyses of COVID-19 deaths in Brazil.</w:t>
      </w:r>
      <w:r w:rsidRPr="007F4C3C">
        <w:rPr>
          <w:noProof/>
          <w:vertAlign w:val="superscript"/>
          <w:lang w:val="en-US"/>
        </w:rPr>
        <w:t>18-20</w:t>
      </w:r>
    </w:p>
    <w:p w14:paraId="6F43483D" w14:textId="77777777" w:rsidR="00CA4C41" w:rsidRDefault="00CA4C41" w:rsidP="00B73AD7">
      <w:pPr>
        <w:spacing w:line="276" w:lineRule="auto"/>
        <w:rPr>
          <w:lang w:val="en-US"/>
        </w:rPr>
      </w:pPr>
      <w:r>
        <w:rPr>
          <w:lang w:val="en-US"/>
        </w:rPr>
        <w:t>However, there is evidence that the excess mortality during 2020 relative to earlier years was not fully explained by deaths due to COVID-19. It is likely that some of such deaths were reported as having been due to other causes or to ill-defined conditions, but it is also possible that increases in non-COVID-19 deaths were because health services were under stress due to the large COVID-19 case load. Unless reporting patterns varied by age or calendar time, this limitation is unlikely to affect the present results particularly in light of the present finding that age patterns in deaths assigned to non-COVID causes remained stable.</w:t>
      </w:r>
    </w:p>
    <w:p w14:paraId="03373C5F" w14:textId="7B8CE515" w:rsidR="00CA4C41" w:rsidRDefault="00CA4C41" w:rsidP="00B73AD7">
      <w:pPr>
        <w:spacing w:line="276" w:lineRule="auto"/>
        <w:rPr>
          <w:lang w:val="en-US"/>
        </w:rPr>
      </w:pPr>
      <w:r>
        <w:rPr>
          <w:lang w:val="en-US"/>
        </w:rPr>
        <w:t>The decline in mortality was observed for both sexes. Proportionate mortality at older ages was higher among women than for men, which is compatible with higher case-fatality of younger male adults, possibly related to comorbidities, given that existing serological surveys do not suggest differences in infection prevalence by sex.</w:t>
      </w:r>
      <w:r w:rsidRPr="007F4C3C">
        <w:rPr>
          <w:noProof/>
          <w:vertAlign w:val="superscript"/>
          <w:lang w:val="en-US"/>
        </w:rPr>
        <w:t>21,22</w:t>
      </w:r>
      <w:r>
        <w:rPr>
          <w:lang w:val="en-US"/>
        </w:rPr>
        <w:t xml:space="preserve"> The reductions in proportionate mortality were very similar across four of the five regions of the country. A decline was also observed in the fifth region (Northern Brazil including the Amazon), but proportionate mortality was lower at the beginning of the year than in the rest of the country, and the decline started later than in the rest of the country. The North region has been badly hit by the first and second waves of the pandemic, and high prevalence, high case-fatality, and the limited availability of health services in this region</w:t>
      </w:r>
      <w:r w:rsidRPr="007F4C3C">
        <w:rPr>
          <w:noProof/>
          <w:vertAlign w:val="superscript"/>
          <w:lang w:val="en-US"/>
        </w:rPr>
        <w:t>23</w:t>
      </w:r>
      <w:r>
        <w:rPr>
          <w:lang w:val="en-US"/>
        </w:rPr>
        <w:t xml:space="preserve"> may have led to a larger number of deaths among young adults. Even before the pandemic, life expectancy at birth in the North region was the shortest in the country at 72.9 years, compared to 73.9, 78.3, 78.6 and 75.8 in the Northeast, Southeast, South and Center-West, respectively.</w:t>
      </w:r>
      <w:r w:rsidRPr="007F4C3C">
        <w:rPr>
          <w:noProof/>
          <w:vertAlign w:val="superscript"/>
          <w:lang w:val="en-US"/>
        </w:rPr>
        <w:t>17</w:t>
      </w:r>
    </w:p>
    <w:p w14:paraId="7913A91A" w14:textId="673D5FD2" w:rsidR="00CA4C41" w:rsidRDefault="00CA4C41" w:rsidP="00B73AD7">
      <w:pPr>
        <w:spacing w:line="276" w:lineRule="auto"/>
        <w:rPr>
          <w:lang w:val="en-US"/>
        </w:rPr>
      </w:pPr>
      <w:r>
        <w:rPr>
          <w:lang w:val="en-US"/>
        </w:rPr>
        <w:t>The most likely explanation for the observed reductions in proportionate mortality and in rate ratios for the elderly is the rapid increase in vaccination coverage in these age groups, as has been described for other parts of the world</w:t>
      </w:r>
      <w:r>
        <w:rPr>
          <w:noProof/>
          <w:lang w:val="en-US"/>
        </w:rPr>
        <w:t>.</w:t>
      </w:r>
      <w:r w:rsidRPr="00E53DAE">
        <w:rPr>
          <w:lang w:val="en-US"/>
        </w:rPr>
        <w:t xml:space="preserve"> </w:t>
      </w:r>
      <w:r w:rsidRPr="007F4C3C">
        <w:rPr>
          <w:noProof/>
          <w:vertAlign w:val="superscript"/>
          <w:lang w:val="en-US"/>
        </w:rPr>
        <w:t>7-9</w:t>
      </w:r>
      <w:r>
        <w:rPr>
          <w:lang w:val="en-US"/>
        </w:rPr>
        <w:t xml:space="preserve"> The increase in vaccine coverage preceded the decline in mortality, and the decline at ages 80+ years preceded the decline at ages 70-79 years, which is in accordance with the vaccination calendar. </w:t>
      </w:r>
    </w:p>
    <w:p w14:paraId="024B4B2E" w14:textId="51087DDD" w:rsidR="00CA4C41" w:rsidRDefault="00CA4C41" w:rsidP="00B73AD7">
      <w:pPr>
        <w:spacing w:line="276" w:lineRule="auto"/>
        <w:rPr>
          <w:lang w:val="en-US"/>
        </w:rPr>
      </w:pPr>
      <w:r>
        <w:rPr>
          <w:lang w:val="en-US"/>
        </w:rPr>
        <w:t>Our results are original in the sense that none of existing population-based mortality studies were carried out in a setting where the gamma variant is predominant. Recent observational studies in vaccinated health workers in Manaus and São Paulo</w:t>
      </w:r>
      <w:r w:rsidRPr="007F4C3C">
        <w:rPr>
          <w:noProof/>
          <w:vertAlign w:val="superscript"/>
          <w:lang w:val="en-US"/>
        </w:rPr>
        <w:t>10,11</w:t>
      </w:r>
      <w:r>
        <w:rPr>
          <w:lang w:val="en-US"/>
        </w:rPr>
        <w:t xml:space="preserve"> had already suggested that Coronavac provided some degree of protection against symptomatic illness in settings where gamma was prevalent. Coronavac accounted for most vaccinations in the 80+ years age group, who were immunized in January and February, with AstraZeneca vaccine accounting for the majority of recent doses. Individuals who received the latter are so far protected by a single dose given that the second dose is provided 12 weeks after the first, whereas the second dose of Coronavac has already been administered to a very high proportion of individuals aged 80+ </w:t>
      </w:r>
      <w:r>
        <w:rPr>
          <w:lang w:val="en-US"/>
        </w:rPr>
        <w:lastRenderedPageBreak/>
        <w:t>years</w:t>
      </w:r>
      <w:r w:rsidRPr="0054415C">
        <w:rPr>
          <w:lang w:val="en-US"/>
        </w:rPr>
        <w:t xml:space="preserve"> </w:t>
      </w:r>
      <w:r w:rsidRPr="007F4C3C">
        <w:rPr>
          <w:noProof/>
          <w:vertAlign w:val="superscript"/>
          <w:lang w:val="en-US"/>
        </w:rPr>
        <w:t>24</w:t>
      </w:r>
      <w:r>
        <w:rPr>
          <w:lang w:val="en-US"/>
        </w:rPr>
        <w:t xml:space="preserve"> as doses are given four weeks apart. The health worker study in São Paulo suggested that the number of cases started to drop after the first Coronavac dose, which is compatible with our findings.</w:t>
      </w:r>
      <w:r w:rsidRPr="0054415C">
        <w:rPr>
          <w:lang w:val="en-US"/>
        </w:rPr>
        <w:t xml:space="preserve"> </w:t>
      </w:r>
      <w:r w:rsidRPr="007F4C3C">
        <w:rPr>
          <w:noProof/>
          <w:vertAlign w:val="superscript"/>
          <w:lang w:val="en-US"/>
        </w:rPr>
        <w:t>11</w:t>
      </w:r>
      <w:r>
        <w:rPr>
          <w:lang w:val="en-US"/>
        </w:rPr>
        <w:t xml:space="preserve"> This is supported by the results of a recent mass vaccination trial with Coronavac in the town of </w:t>
      </w:r>
      <w:proofErr w:type="spellStart"/>
      <w:r>
        <w:rPr>
          <w:lang w:val="en-US"/>
        </w:rPr>
        <w:t>Serrana</w:t>
      </w:r>
      <w:proofErr w:type="spellEnd"/>
      <w:r>
        <w:rPr>
          <w:lang w:val="en-US"/>
        </w:rPr>
        <w:t xml:space="preserve"> (population 27,000) carried out by Instituto </w:t>
      </w:r>
      <w:proofErr w:type="spellStart"/>
      <w:r>
        <w:rPr>
          <w:lang w:val="en-US"/>
        </w:rPr>
        <w:t>Butantan</w:t>
      </w:r>
      <w:proofErr w:type="spellEnd"/>
      <w:r>
        <w:rPr>
          <w:lang w:val="en-US"/>
        </w:rPr>
        <w:t>. Following high coverage with Coronavac in early 2021, reductions of 86% in admissions and 95% in deaths were observed in the town by the end of May.</w:t>
      </w:r>
      <w:r w:rsidRPr="007F4C3C">
        <w:rPr>
          <w:noProof/>
          <w:vertAlign w:val="superscript"/>
          <w:lang w:val="en-US"/>
        </w:rPr>
        <w:t>25</w:t>
      </w:r>
    </w:p>
    <w:p w14:paraId="1D8FCA27" w14:textId="4DD157FB" w:rsidR="00CA4C41" w:rsidRDefault="00CA4C41" w:rsidP="00B73AD7">
      <w:pPr>
        <w:spacing w:line="276" w:lineRule="auto"/>
        <w:rPr>
          <w:lang w:val="en-US"/>
        </w:rPr>
      </w:pPr>
      <w:r>
        <w:rPr>
          <w:lang w:val="en-US"/>
        </w:rPr>
        <w:t>We attempted to provide an approximate estimate of lives saved among elderly Brazilians in the eight-week period since vaccination was accelerated throughout the country. The figure of over 40 thousand deaths averted is likely an underestimate, because it does not take into account lives saved among other priority groups for vaccination, such as health workers and indigenous populations. Also, by using the mortality in ages 0-69 years to predict expected deaths among those aged 70+ years, we are not accounting for lives saved by the vaccine among younger age groups – e.g., 60-69-year-olds - for whom coverage also increased, albeit at a slower rate. Although it is not possible to make strong causal arguments on the basis of the data available for our analyses, our findings are consistent with the results of efficacy trials for both vaccines, and with observational studies in high-risk groups of health workers.</w:t>
      </w:r>
      <w:r w:rsidRPr="007F4C3C">
        <w:rPr>
          <w:noProof/>
          <w:vertAlign w:val="superscript"/>
          <w:lang w:val="en-US"/>
        </w:rPr>
        <w:t>10,11</w:t>
      </w:r>
    </w:p>
    <w:p w14:paraId="304AF49E" w14:textId="77777777" w:rsidR="00CA4C41" w:rsidRPr="00C10817" w:rsidRDefault="00CA4C41" w:rsidP="00B73AD7">
      <w:pPr>
        <w:spacing w:line="276" w:lineRule="auto"/>
        <w:rPr>
          <w:lang w:val="en-US"/>
        </w:rPr>
      </w:pPr>
      <w:r>
        <w:rPr>
          <w:lang w:val="en-US"/>
        </w:rPr>
        <w:t xml:space="preserve">The main contribution brought by the present analyses is to provide large-scale supporting evidence for effectiveness of vaccination in a setting with wide circulation of the gamma variant. Because compliance with non-pharmaceutical interventions such as social distancing and mask use is limited in most of the country, rapid scaling up of vaccination remains as the most promising approach for controlling the pandemic in a country where almost 500,000 lives have already been lost to COVID-19. </w:t>
      </w:r>
    </w:p>
    <w:p w14:paraId="46970F97" w14:textId="77777777" w:rsidR="00CA4C41" w:rsidRDefault="00CA4C41" w:rsidP="00B73AD7">
      <w:pPr>
        <w:pStyle w:val="Heading2"/>
        <w:spacing w:line="276" w:lineRule="auto"/>
        <w:rPr>
          <w:lang w:val="en-US"/>
        </w:rPr>
      </w:pPr>
      <w:r>
        <w:rPr>
          <w:lang w:val="en-US"/>
        </w:rPr>
        <w:t>Funding</w:t>
      </w:r>
    </w:p>
    <w:p w14:paraId="2C3DE48E" w14:textId="77777777" w:rsidR="00CA4C41" w:rsidRPr="009C09E3" w:rsidRDefault="00CA4C41" w:rsidP="00B73AD7">
      <w:pPr>
        <w:spacing w:line="276" w:lineRule="auto"/>
        <w:rPr>
          <w:lang w:val="en-US"/>
        </w:rPr>
      </w:pPr>
      <w:r>
        <w:rPr>
          <w:lang w:val="en-US"/>
        </w:rPr>
        <w:t xml:space="preserve">CGV and AJDB are funded by the </w:t>
      </w:r>
      <w:proofErr w:type="spellStart"/>
      <w:r>
        <w:rPr>
          <w:lang w:val="en-US"/>
        </w:rPr>
        <w:t>Todos</w:t>
      </w:r>
      <w:proofErr w:type="spellEnd"/>
      <w:r>
        <w:rPr>
          <w:lang w:val="en-US"/>
        </w:rPr>
        <w:t xml:space="preserve"> Pela </w:t>
      </w:r>
      <w:proofErr w:type="spellStart"/>
      <w:r>
        <w:rPr>
          <w:lang w:val="en-US"/>
        </w:rPr>
        <w:t>Saúde</w:t>
      </w:r>
      <w:proofErr w:type="spellEnd"/>
      <w:r>
        <w:rPr>
          <w:lang w:val="en-US"/>
        </w:rPr>
        <w:t xml:space="preserve"> (São Paulo, Brazil) initiative.</w:t>
      </w:r>
    </w:p>
    <w:p w14:paraId="5D75E71D" w14:textId="77777777" w:rsidR="00CA4C41" w:rsidRPr="00866018" w:rsidRDefault="00CA4C41" w:rsidP="00866018">
      <w:pPr>
        <w:pStyle w:val="Heading1"/>
        <w:spacing w:line="276" w:lineRule="auto"/>
        <w:rPr>
          <w:lang w:val="en-US"/>
        </w:rPr>
      </w:pPr>
      <w:r>
        <w:rPr>
          <w:lang w:val="en-US"/>
        </w:rPr>
        <w:br w:type="column"/>
      </w:r>
      <w:r w:rsidRPr="00B348E3">
        <w:rPr>
          <w:lang w:val="en-US"/>
        </w:rPr>
        <w:lastRenderedPageBreak/>
        <w:t>References</w:t>
      </w:r>
    </w:p>
    <w:p w14:paraId="0F3020F9" w14:textId="77777777" w:rsidR="00CA4C41" w:rsidRPr="007A5856" w:rsidRDefault="00CA4C41" w:rsidP="00B029E6">
      <w:pPr>
        <w:pStyle w:val="EndNoteBibliography"/>
        <w:spacing w:after="0"/>
        <w:rPr>
          <w:lang w:val="pt-BR"/>
        </w:rPr>
      </w:pPr>
      <w:r w:rsidRPr="00B029E6">
        <w:t>1.</w:t>
      </w:r>
      <w:r w:rsidRPr="00B029E6">
        <w:tab/>
        <w:t xml:space="preserve">Castro MC, Kim S, Barberia L, et al. Spatiotemporal pattern of COVID-19 spread in Brazil. </w:t>
      </w:r>
      <w:r w:rsidRPr="007A5856">
        <w:rPr>
          <w:i/>
          <w:lang w:val="pt-BR"/>
        </w:rPr>
        <w:t>Science</w:t>
      </w:r>
      <w:r w:rsidRPr="007A5856">
        <w:rPr>
          <w:lang w:val="pt-BR"/>
        </w:rPr>
        <w:t xml:space="preserve"> 2021.</w:t>
      </w:r>
    </w:p>
    <w:p w14:paraId="69E2E1B8" w14:textId="0A9B223A" w:rsidR="00E25CE0" w:rsidRPr="007A5856" w:rsidRDefault="00CA4C41" w:rsidP="00B029E6">
      <w:pPr>
        <w:pStyle w:val="EndNoteBibliography"/>
        <w:spacing w:after="0"/>
        <w:rPr>
          <w:lang w:val="pt-BR"/>
        </w:rPr>
      </w:pPr>
      <w:r w:rsidRPr="007A5856">
        <w:rPr>
          <w:lang w:val="pt-BR"/>
        </w:rPr>
        <w:t>2.</w:t>
      </w:r>
      <w:r w:rsidRPr="007A5856">
        <w:rPr>
          <w:lang w:val="pt-BR"/>
        </w:rPr>
        <w:tab/>
        <w:t xml:space="preserve">Brasil. Ministério da Saúde. COVID-19 Painel Coronavírus. </w:t>
      </w:r>
      <w:hyperlink r:id="rId11" w:history="1">
        <w:r w:rsidR="00E25CE0" w:rsidRPr="007A5856">
          <w:rPr>
            <w:rStyle w:val="Hyperlink"/>
            <w:lang w:val="pt-BR"/>
          </w:rPr>
          <w:t>https://covid.saude.gov.br/</w:t>
        </w:r>
      </w:hyperlink>
    </w:p>
    <w:p w14:paraId="446DB757" w14:textId="2B0D5B6D" w:rsidR="00CA4C41" w:rsidRPr="00B029E6" w:rsidRDefault="00CA4C41" w:rsidP="00B029E6">
      <w:pPr>
        <w:pStyle w:val="EndNoteBibliography"/>
        <w:spacing w:after="0"/>
      </w:pPr>
      <w:r w:rsidRPr="00B029E6">
        <w:t xml:space="preserve">(accessed </w:t>
      </w:r>
      <w:r w:rsidR="00E25CE0">
        <w:t>June 16</w:t>
      </w:r>
      <w:r w:rsidRPr="00B029E6">
        <w:t>, 2021</w:t>
      </w:r>
      <w:r w:rsidR="00E25CE0">
        <w:t>)</w:t>
      </w:r>
      <w:r w:rsidRPr="00B029E6">
        <w:t>.</w:t>
      </w:r>
    </w:p>
    <w:p w14:paraId="401F5800" w14:textId="6A26E88F" w:rsidR="00CA4C41" w:rsidRPr="007A5856" w:rsidRDefault="00CA4C41" w:rsidP="00B029E6">
      <w:pPr>
        <w:pStyle w:val="EndNoteBibliography"/>
        <w:spacing w:after="0"/>
        <w:rPr>
          <w:lang w:val="pt-BR"/>
        </w:rPr>
      </w:pPr>
      <w:r w:rsidRPr="00B029E6">
        <w:t>3.</w:t>
      </w:r>
      <w:r w:rsidRPr="00B029E6">
        <w:tab/>
        <w:t xml:space="preserve">Faria NR, Mellan TA, Whittaker C, et al. Genomics and epidemiology of the P.1 SARS-CoV-2 lineage in Manaus, Brazil. </w:t>
      </w:r>
      <w:r w:rsidRPr="007A5856">
        <w:rPr>
          <w:i/>
          <w:lang w:val="pt-BR"/>
        </w:rPr>
        <w:t>Science</w:t>
      </w:r>
      <w:r w:rsidRPr="007A5856">
        <w:rPr>
          <w:lang w:val="pt-BR"/>
        </w:rPr>
        <w:t xml:space="preserve"> </w:t>
      </w:r>
      <w:r w:rsidR="00E25CE0" w:rsidRPr="007A5856">
        <w:rPr>
          <w:lang w:val="pt-BR"/>
        </w:rPr>
        <w:t>2021)</w:t>
      </w:r>
      <w:r w:rsidRPr="007A5856">
        <w:rPr>
          <w:lang w:val="pt-BR"/>
        </w:rPr>
        <w:t>.</w:t>
      </w:r>
    </w:p>
    <w:p w14:paraId="0D7FD836" w14:textId="6FD92324" w:rsidR="00CA4C41" w:rsidRPr="00B029E6" w:rsidRDefault="00CA4C41" w:rsidP="00B029E6">
      <w:pPr>
        <w:pStyle w:val="EndNoteBibliography"/>
        <w:spacing w:after="0"/>
      </w:pPr>
      <w:r w:rsidRPr="007A5856">
        <w:rPr>
          <w:lang w:val="pt-BR"/>
        </w:rPr>
        <w:t>4.</w:t>
      </w:r>
      <w:r w:rsidRPr="007A5856">
        <w:rPr>
          <w:lang w:val="pt-BR"/>
        </w:rPr>
        <w:tab/>
        <w:t xml:space="preserve">Fundação Oswaldo Cruz. Fiocruz detecta mutação associada a variantes de preocupação no país. </w:t>
      </w:r>
      <w:r w:rsidRPr="00B029E6">
        <w:t xml:space="preserve">March 4, 2021 2021. </w:t>
      </w:r>
      <w:hyperlink r:id="rId12" w:history="1">
        <w:r w:rsidR="00E25CE0" w:rsidRPr="00791E91">
          <w:rPr>
            <w:rStyle w:val="Hyperlink"/>
          </w:rPr>
          <w:t>https://portal.fiocruz.br/noticia/fiocruz-detecta-mutacao-associada-variantes-de-preocupacao-no-pais</w:t>
        </w:r>
      </w:hyperlink>
      <w:r w:rsidRPr="00B029E6">
        <w:t xml:space="preserve"> (accessed </w:t>
      </w:r>
      <w:r w:rsidR="00E25CE0">
        <w:t>June 15</w:t>
      </w:r>
      <w:r w:rsidRPr="00B029E6">
        <w:t xml:space="preserve">, </w:t>
      </w:r>
      <w:r w:rsidR="00E25CE0">
        <w:t>2021)</w:t>
      </w:r>
      <w:r w:rsidRPr="00B029E6">
        <w:t>.</w:t>
      </w:r>
    </w:p>
    <w:p w14:paraId="7C964BC8" w14:textId="1C8BF323" w:rsidR="00CA4C41" w:rsidRPr="00B029E6" w:rsidRDefault="00CA4C41" w:rsidP="00B029E6">
      <w:pPr>
        <w:pStyle w:val="EndNoteBibliography"/>
        <w:spacing w:after="0"/>
      </w:pPr>
      <w:r w:rsidRPr="00B029E6">
        <w:t>5.</w:t>
      </w:r>
      <w:r w:rsidRPr="00B029E6">
        <w:tab/>
        <w:t xml:space="preserve">GISAID. Genomic epidemiology of hCoV-19. </w:t>
      </w:r>
      <w:r w:rsidR="00E25CE0">
        <w:t>2021)</w:t>
      </w:r>
      <w:r w:rsidRPr="00B029E6">
        <w:t xml:space="preserve">. </w:t>
      </w:r>
      <w:hyperlink r:id="rId13" w:history="1">
        <w:r w:rsidR="00E25CE0" w:rsidRPr="00791E91">
          <w:rPr>
            <w:rStyle w:val="Hyperlink"/>
          </w:rPr>
          <w:t>www.gisaid.org</w:t>
        </w:r>
      </w:hyperlink>
      <w:r w:rsidR="00E25CE0">
        <w:t xml:space="preserve"> </w:t>
      </w:r>
      <w:r w:rsidRPr="00B029E6">
        <w:t xml:space="preserve">(accessed June 15, </w:t>
      </w:r>
      <w:r w:rsidR="00E25CE0">
        <w:t>2021)</w:t>
      </w:r>
      <w:r w:rsidRPr="00B029E6">
        <w:t>.</w:t>
      </w:r>
    </w:p>
    <w:p w14:paraId="2CE63264" w14:textId="32F30976" w:rsidR="00CA4C41" w:rsidRPr="00B029E6" w:rsidRDefault="00CA4C41" w:rsidP="00B029E6">
      <w:pPr>
        <w:pStyle w:val="EndNoteBibliography"/>
        <w:spacing w:after="0"/>
      </w:pPr>
      <w:r w:rsidRPr="007A5856">
        <w:rPr>
          <w:lang w:val="pt-BR"/>
        </w:rPr>
        <w:t>6.</w:t>
      </w:r>
      <w:r w:rsidRPr="007A5856">
        <w:rPr>
          <w:lang w:val="pt-BR"/>
        </w:rPr>
        <w:tab/>
        <w:t xml:space="preserve">Brasil. Ministério da Saúde. Opendatasus. Campanha Nacional de Vacinação contra Covid-19. </w:t>
      </w:r>
      <w:hyperlink r:id="rId14" w:history="1">
        <w:r w:rsidR="00E25CE0" w:rsidRPr="00791E91">
          <w:rPr>
            <w:rStyle w:val="Hyperlink"/>
          </w:rPr>
          <w:t>https://opendatasus.saude.gov.br/dataset/covid-19-vacinacao</w:t>
        </w:r>
      </w:hyperlink>
      <w:r w:rsidR="00E25CE0">
        <w:t xml:space="preserve"> </w:t>
      </w:r>
      <w:r w:rsidRPr="00B029E6">
        <w:t xml:space="preserve"> </w:t>
      </w:r>
      <w:r w:rsidR="00E25CE0" w:rsidRPr="00B029E6">
        <w:t xml:space="preserve">(accessed </w:t>
      </w:r>
      <w:r w:rsidR="00E25CE0">
        <w:t>June 15</w:t>
      </w:r>
      <w:r w:rsidR="00E25CE0" w:rsidRPr="00B029E6">
        <w:t xml:space="preserve">, </w:t>
      </w:r>
      <w:r w:rsidR="00E25CE0">
        <w:t>2021)</w:t>
      </w:r>
      <w:r w:rsidR="00E25CE0" w:rsidRPr="00B029E6">
        <w:t>.</w:t>
      </w:r>
    </w:p>
    <w:p w14:paraId="1627EE30" w14:textId="2845EB01" w:rsidR="00CA4C41" w:rsidRPr="00B029E6" w:rsidRDefault="00CA4C41" w:rsidP="00B029E6">
      <w:pPr>
        <w:pStyle w:val="EndNoteBibliography"/>
        <w:spacing w:after="0"/>
      </w:pPr>
      <w:r w:rsidRPr="00B029E6">
        <w:t>7.</w:t>
      </w:r>
      <w:r w:rsidRPr="00B029E6">
        <w:tab/>
        <w:t xml:space="preserve">Vasileiou E, Simpson CR, Robertson C, et al. Effectiveness of First Dose of COVID-19 Vaccines Against Hospital Admissions in Scotland: National Prospective Cohort Study of 5.4 Million People. </w:t>
      </w:r>
      <w:r w:rsidRPr="00B029E6">
        <w:rPr>
          <w:i/>
        </w:rPr>
        <w:t>SSRN</w:t>
      </w:r>
      <w:r w:rsidRPr="00B029E6">
        <w:t xml:space="preserve"> </w:t>
      </w:r>
      <w:r w:rsidR="00E25CE0">
        <w:t>2021)</w:t>
      </w:r>
      <w:r w:rsidRPr="00B029E6">
        <w:t>.</w:t>
      </w:r>
    </w:p>
    <w:p w14:paraId="14E96256" w14:textId="0E18FE47" w:rsidR="00CA4C41" w:rsidRPr="00B029E6" w:rsidRDefault="00CA4C41" w:rsidP="00B029E6">
      <w:pPr>
        <w:pStyle w:val="EndNoteBibliography"/>
        <w:spacing w:after="0"/>
      </w:pPr>
      <w:r w:rsidRPr="00B029E6">
        <w:t>8.</w:t>
      </w:r>
      <w:r w:rsidRPr="00B029E6">
        <w:tab/>
        <w:t>Israel Ministry of Health. Effectiveness Data of the COVID-19 Vaccine Collected in Israel until 13.2.</w:t>
      </w:r>
      <w:r w:rsidR="00E25CE0">
        <w:t>2021</w:t>
      </w:r>
      <w:r w:rsidRPr="00B029E6">
        <w:t>.</w:t>
      </w:r>
      <w:r w:rsidR="00E25CE0" w:rsidRPr="00E25CE0">
        <w:t xml:space="preserve"> </w:t>
      </w:r>
      <w:hyperlink r:id="rId15" w:history="1">
        <w:r w:rsidR="00E25CE0" w:rsidRPr="00791E91">
          <w:rPr>
            <w:rStyle w:val="Hyperlink"/>
          </w:rPr>
          <w:t>https://www.gov.il/en/departments/news/20022021-01</w:t>
        </w:r>
      </w:hyperlink>
      <w:r w:rsidR="00E25CE0">
        <w:t xml:space="preserve"> </w:t>
      </w:r>
      <w:r w:rsidR="00E25CE0" w:rsidRPr="00B029E6">
        <w:t xml:space="preserve">(accessed </w:t>
      </w:r>
      <w:r w:rsidR="00E25CE0">
        <w:t>June 15</w:t>
      </w:r>
      <w:r w:rsidR="00E25CE0" w:rsidRPr="00B029E6">
        <w:t xml:space="preserve">, </w:t>
      </w:r>
      <w:r w:rsidR="00E25CE0">
        <w:t>2021)</w:t>
      </w:r>
      <w:r w:rsidR="00E25CE0" w:rsidRPr="00B029E6">
        <w:t>.</w:t>
      </w:r>
    </w:p>
    <w:p w14:paraId="586E27E0" w14:textId="175611DA" w:rsidR="00CA4C41" w:rsidRPr="00B029E6" w:rsidRDefault="00CA4C41" w:rsidP="00B029E6">
      <w:pPr>
        <w:pStyle w:val="EndNoteBibliography"/>
        <w:spacing w:after="0"/>
      </w:pPr>
      <w:r w:rsidRPr="00B029E6">
        <w:t>9.</w:t>
      </w:r>
      <w:r w:rsidRPr="00B029E6">
        <w:tab/>
        <w:t xml:space="preserve">Bernal JL, Andrews N, Gower C, et al. Early effectiveness of COVID-19 vaccination with BNT162b2 mRNA vaccine and ChAdOx1 adenovirus vector vaccine on symptomatic disease, hospitalisations and mortality in older adults in England. </w:t>
      </w:r>
      <w:r w:rsidRPr="00B029E6">
        <w:rPr>
          <w:i/>
        </w:rPr>
        <w:t>medRxiv</w:t>
      </w:r>
      <w:r w:rsidRPr="00B029E6">
        <w:t xml:space="preserve">: </w:t>
      </w:r>
      <w:r w:rsidR="00E25CE0">
        <w:t>2021</w:t>
      </w:r>
      <w:r w:rsidRPr="00B029E6">
        <w:t>.03.01.21252652.</w:t>
      </w:r>
    </w:p>
    <w:p w14:paraId="14FCA3C7" w14:textId="2943272B" w:rsidR="00CA4C41" w:rsidRPr="007A5856" w:rsidRDefault="00CA4C41" w:rsidP="00B029E6">
      <w:pPr>
        <w:pStyle w:val="EndNoteBibliography"/>
        <w:spacing w:after="0"/>
        <w:rPr>
          <w:lang w:val="pt-BR"/>
        </w:rPr>
      </w:pPr>
      <w:r w:rsidRPr="00B029E6">
        <w:t>10.</w:t>
      </w:r>
      <w:r w:rsidRPr="00B029E6">
        <w:tab/>
        <w:t xml:space="preserve">Hitchings MDT, Ranzani OT, Scaramuzzini Torres MS, et al. Effectiveness of CoronaVac in the setting of high SARS-CoV-2 P.1 variant transmission in Brazil: A test-negative case-control study. </w:t>
      </w:r>
      <w:r w:rsidR="00E25CE0" w:rsidRPr="007A5856">
        <w:rPr>
          <w:i/>
          <w:lang w:val="pt-BR"/>
        </w:rPr>
        <w:t>M</w:t>
      </w:r>
      <w:r w:rsidRPr="007A5856">
        <w:rPr>
          <w:i/>
          <w:lang w:val="pt-BR"/>
        </w:rPr>
        <w:t>edRxiv</w:t>
      </w:r>
      <w:r w:rsidR="00E25CE0" w:rsidRPr="007A5856">
        <w:rPr>
          <w:i/>
          <w:lang w:val="pt-BR"/>
        </w:rPr>
        <w:t>:</w:t>
      </w:r>
      <w:r w:rsidRPr="007A5856">
        <w:rPr>
          <w:lang w:val="pt-BR"/>
        </w:rPr>
        <w:t xml:space="preserve"> </w:t>
      </w:r>
      <w:r w:rsidR="00E25CE0" w:rsidRPr="007A5856">
        <w:rPr>
          <w:lang w:val="pt-BR"/>
        </w:rPr>
        <w:t>2021</w:t>
      </w:r>
      <w:r w:rsidRPr="007A5856">
        <w:rPr>
          <w:lang w:val="pt-BR"/>
        </w:rPr>
        <w:t>.04.07.21255081.</w:t>
      </w:r>
    </w:p>
    <w:p w14:paraId="3B23D63F" w14:textId="41A7E64F" w:rsidR="00CA4C41" w:rsidRPr="00B029E6" w:rsidRDefault="00CA4C41" w:rsidP="00B029E6">
      <w:pPr>
        <w:pStyle w:val="EndNoteBibliography"/>
        <w:spacing w:after="0"/>
      </w:pPr>
      <w:r w:rsidRPr="007A5856">
        <w:rPr>
          <w:lang w:val="pt-BR"/>
        </w:rPr>
        <w:t>11.</w:t>
      </w:r>
      <w:r w:rsidRPr="007A5856">
        <w:rPr>
          <w:lang w:val="pt-BR"/>
        </w:rPr>
        <w:tab/>
        <w:t xml:space="preserve">de Faria E, Guedes AR, Oliveira MS, et al. </w:t>
      </w:r>
      <w:r w:rsidRPr="00B029E6">
        <w:t xml:space="preserve">Performance of vaccination with CoronaVac in a cohort of healthcare workers (HCW) - preliminary report. </w:t>
      </w:r>
      <w:r w:rsidRPr="00B029E6">
        <w:rPr>
          <w:i/>
        </w:rPr>
        <w:t>medRxiv</w:t>
      </w:r>
      <w:r w:rsidRPr="00B029E6">
        <w:t xml:space="preserve">: </w:t>
      </w:r>
      <w:r w:rsidR="00E25CE0">
        <w:t>2021</w:t>
      </w:r>
      <w:r w:rsidRPr="00B029E6">
        <w:t>.04.12.21255308.</w:t>
      </w:r>
    </w:p>
    <w:p w14:paraId="68DEF744" w14:textId="613B32C6" w:rsidR="00CA4C41" w:rsidRPr="007A5856" w:rsidRDefault="00CA4C41" w:rsidP="00B029E6">
      <w:pPr>
        <w:pStyle w:val="EndNoteBibliography"/>
        <w:spacing w:after="0"/>
        <w:rPr>
          <w:lang w:val="pt-BR"/>
        </w:rPr>
      </w:pPr>
      <w:r w:rsidRPr="00B029E6">
        <w:t>12.</w:t>
      </w:r>
      <w:r w:rsidRPr="00B029E6">
        <w:tab/>
        <w:t xml:space="preserve">Thompson RN, Hill EM, Gog JR. SARS-CoV-2 incidence and vaccine escape. </w:t>
      </w:r>
      <w:r w:rsidRPr="007A5856">
        <w:rPr>
          <w:i/>
          <w:lang w:val="pt-BR"/>
        </w:rPr>
        <w:t>The Lancet Infectious diseases</w:t>
      </w:r>
      <w:r w:rsidRPr="007A5856">
        <w:rPr>
          <w:lang w:val="pt-BR"/>
        </w:rPr>
        <w:t xml:space="preserve"> </w:t>
      </w:r>
      <w:r w:rsidR="00E25CE0" w:rsidRPr="007A5856">
        <w:rPr>
          <w:lang w:val="pt-BR"/>
        </w:rPr>
        <w:t>2021</w:t>
      </w:r>
      <w:r w:rsidRPr="007A5856">
        <w:rPr>
          <w:lang w:val="pt-BR"/>
        </w:rPr>
        <w:t>: S1473-3099(21)00202-4.</w:t>
      </w:r>
    </w:p>
    <w:p w14:paraId="733933DC" w14:textId="0E2774BC" w:rsidR="00E25CE0" w:rsidRPr="00B029E6" w:rsidRDefault="00CA4C41" w:rsidP="00E25CE0">
      <w:pPr>
        <w:pStyle w:val="EndNoteBibliography"/>
        <w:spacing w:after="0"/>
      </w:pPr>
      <w:r w:rsidRPr="007A5856">
        <w:rPr>
          <w:lang w:val="pt-BR"/>
        </w:rPr>
        <w:t>13.</w:t>
      </w:r>
      <w:r w:rsidRPr="007A5856">
        <w:rPr>
          <w:lang w:val="pt-BR"/>
        </w:rPr>
        <w:tab/>
        <w:t xml:space="preserve">Brasil. Ministério da Saúde. SIM. Sistema de Informações de Mortalidade. </w:t>
      </w:r>
      <w:hyperlink r:id="rId16" w:history="1">
        <w:r w:rsidR="00E25CE0" w:rsidRPr="00791E91">
          <w:rPr>
            <w:rStyle w:val="Hyperlink"/>
          </w:rPr>
          <w:t>http://www2.datasus.gov.br/DATASUS/index.php?area=060701</w:t>
        </w:r>
      </w:hyperlink>
      <w:r w:rsidR="00E25CE0">
        <w:t xml:space="preserve"> </w:t>
      </w:r>
      <w:r w:rsidRPr="00B029E6">
        <w:t xml:space="preserve"> </w:t>
      </w:r>
      <w:r w:rsidR="00E25CE0" w:rsidRPr="00B029E6">
        <w:t xml:space="preserve">(accessed </w:t>
      </w:r>
      <w:r w:rsidR="00E25CE0">
        <w:t>June 15</w:t>
      </w:r>
      <w:r w:rsidR="00E25CE0" w:rsidRPr="00B029E6">
        <w:t xml:space="preserve">, </w:t>
      </w:r>
      <w:r w:rsidR="00E25CE0">
        <w:t>2021)</w:t>
      </w:r>
      <w:r w:rsidR="00E25CE0" w:rsidRPr="00B029E6">
        <w:t>.</w:t>
      </w:r>
    </w:p>
    <w:p w14:paraId="0A32B7FE" w14:textId="748785DD" w:rsidR="00CA4C41" w:rsidRPr="007A5856" w:rsidRDefault="00CA4C41" w:rsidP="00E25CE0">
      <w:pPr>
        <w:pStyle w:val="EndNoteBibliography"/>
        <w:spacing w:after="0"/>
        <w:rPr>
          <w:lang w:val="pt-BR"/>
        </w:rPr>
      </w:pPr>
      <w:r w:rsidRPr="00B029E6">
        <w:t>14.</w:t>
      </w:r>
      <w:r w:rsidRPr="00B029E6">
        <w:tab/>
        <w:t xml:space="preserve">Lima EECd, Queiroz BL. Evolution of the deaths registry system in Brazil: associations with changes in the mortality profile, under-registration of death counts, and ill-defined causes of death. </w:t>
      </w:r>
      <w:r w:rsidRPr="007A5856">
        <w:rPr>
          <w:i/>
          <w:lang w:val="pt-BR"/>
        </w:rPr>
        <w:t>Cadernos de Saúde Pública</w:t>
      </w:r>
      <w:r w:rsidRPr="007A5856">
        <w:rPr>
          <w:lang w:val="pt-BR"/>
        </w:rPr>
        <w:t xml:space="preserve"> 2014; </w:t>
      </w:r>
      <w:r w:rsidRPr="007A5856">
        <w:rPr>
          <w:b/>
          <w:lang w:val="pt-BR"/>
        </w:rPr>
        <w:t>30</w:t>
      </w:r>
      <w:r w:rsidRPr="007A5856">
        <w:rPr>
          <w:lang w:val="pt-BR"/>
        </w:rPr>
        <w:t>: 1721-30.</w:t>
      </w:r>
    </w:p>
    <w:p w14:paraId="56C93F93" w14:textId="77777777" w:rsidR="00CA4C41" w:rsidRPr="00B029E6" w:rsidRDefault="00CA4C41" w:rsidP="00B029E6">
      <w:pPr>
        <w:pStyle w:val="EndNoteBibliography"/>
        <w:spacing w:after="0"/>
      </w:pPr>
      <w:r w:rsidRPr="007A5856">
        <w:rPr>
          <w:lang w:val="pt-BR"/>
        </w:rPr>
        <w:t>15.</w:t>
      </w:r>
      <w:r w:rsidRPr="007A5856">
        <w:rPr>
          <w:lang w:val="pt-BR"/>
        </w:rPr>
        <w:tab/>
        <w:t xml:space="preserve">Marinho F, de Azeredo Passos VM, Carvalho Malta D, et al. </w:t>
      </w:r>
      <w:r w:rsidRPr="00B029E6">
        <w:t xml:space="preserve">Burden of disease in Brazil, 1990&amp;#x2013;2016: a systematic subnational analysis for the Global Burden of Disease Study 2016. </w:t>
      </w:r>
      <w:r w:rsidRPr="00B029E6">
        <w:rPr>
          <w:i/>
        </w:rPr>
        <w:t>The Lancet</w:t>
      </w:r>
      <w:r w:rsidRPr="00B029E6">
        <w:t xml:space="preserve"> 2018; </w:t>
      </w:r>
      <w:r w:rsidRPr="00B029E6">
        <w:rPr>
          <w:b/>
        </w:rPr>
        <w:t>392</w:t>
      </w:r>
      <w:r w:rsidRPr="00B029E6">
        <w:t>(10149): 760-75.</w:t>
      </w:r>
    </w:p>
    <w:p w14:paraId="0198BC01" w14:textId="126151CD" w:rsidR="00CA4C41" w:rsidRPr="00B029E6" w:rsidRDefault="00CA4C41" w:rsidP="00B029E6">
      <w:pPr>
        <w:pStyle w:val="EndNoteBibliography"/>
        <w:spacing w:after="0"/>
      </w:pPr>
      <w:r w:rsidRPr="00B029E6">
        <w:t>16.</w:t>
      </w:r>
      <w:r w:rsidRPr="00B029E6">
        <w:tab/>
        <w:t xml:space="preserve">World Health Organization. Emergency use ICD codes for COVID-19 disease outbreak. </w:t>
      </w:r>
      <w:hyperlink r:id="rId17" w:history="1">
        <w:r w:rsidR="00E25CE0" w:rsidRPr="00791E91">
          <w:rPr>
            <w:rStyle w:val="Hyperlink"/>
          </w:rPr>
          <w:t>https://www.who.int/standards/classifications/classification-of-diseases/emergency-use-icd-codes-for-covid-19-disease-outbreak</w:t>
        </w:r>
      </w:hyperlink>
      <w:r w:rsidR="00E25CE0">
        <w:t xml:space="preserve"> </w:t>
      </w:r>
      <w:r w:rsidRPr="00B029E6">
        <w:t xml:space="preserve"> </w:t>
      </w:r>
      <w:r w:rsidR="00E25CE0" w:rsidRPr="00B029E6">
        <w:t xml:space="preserve">(accessed </w:t>
      </w:r>
      <w:r w:rsidR="00E25CE0">
        <w:t>June 15</w:t>
      </w:r>
      <w:r w:rsidR="00E25CE0" w:rsidRPr="00B029E6">
        <w:t xml:space="preserve">, </w:t>
      </w:r>
      <w:r w:rsidR="00E25CE0">
        <w:t>2021)</w:t>
      </w:r>
      <w:r w:rsidR="00E25CE0" w:rsidRPr="00B029E6">
        <w:t>.</w:t>
      </w:r>
    </w:p>
    <w:p w14:paraId="5B711E6B" w14:textId="0DE141FD" w:rsidR="00CA4C41" w:rsidRPr="007A5856" w:rsidRDefault="00CA4C41" w:rsidP="00B029E6">
      <w:pPr>
        <w:pStyle w:val="EndNoteBibliography"/>
        <w:spacing w:after="0"/>
        <w:rPr>
          <w:lang w:val="pt-BR"/>
        </w:rPr>
      </w:pPr>
      <w:r w:rsidRPr="007A5856">
        <w:rPr>
          <w:lang w:val="pt-BR"/>
        </w:rPr>
        <w:t>17.</w:t>
      </w:r>
      <w:r w:rsidRPr="007A5856">
        <w:rPr>
          <w:lang w:val="pt-BR"/>
        </w:rPr>
        <w:tab/>
        <w:t xml:space="preserve">Instituto Brasileiro de Geografia e Estatística. Projeções da População. </w:t>
      </w:r>
      <w:hyperlink r:id="rId18" w:history="1">
        <w:r w:rsidR="00E25CE0" w:rsidRPr="007A5856">
          <w:rPr>
            <w:rStyle w:val="Hyperlink"/>
            <w:lang w:val="pt-BR"/>
          </w:rPr>
          <w:t>https://www.ibge.gov.br/estatisticas/sociais/populacao/9109-projecao-da-populacao.html?=&amp;t=o-que-e</w:t>
        </w:r>
      </w:hyperlink>
      <w:r w:rsidR="00E25CE0" w:rsidRPr="007A5856">
        <w:rPr>
          <w:lang w:val="pt-BR"/>
        </w:rPr>
        <w:t xml:space="preserve"> </w:t>
      </w:r>
      <w:r w:rsidRPr="007A5856">
        <w:rPr>
          <w:lang w:val="pt-BR"/>
        </w:rPr>
        <w:t xml:space="preserve"> </w:t>
      </w:r>
      <w:r w:rsidR="00E25CE0" w:rsidRPr="007A5856">
        <w:rPr>
          <w:lang w:val="pt-BR"/>
        </w:rPr>
        <w:t>(accessed June 15, 2021).</w:t>
      </w:r>
    </w:p>
    <w:p w14:paraId="1DA8E796" w14:textId="77777777" w:rsidR="00CA4C41" w:rsidRPr="00B029E6" w:rsidRDefault="00CA4C41" w:rsidP="00B029E6">
      <w:pPr>
        <w:pStyle w:val="EndNoteBibliography"/>
        <w:spacing w:after="0"/>
      </w:pPr>
      <w:r w:rsidRPr="00B029E6">
        <w:t>18.</w:t>
      </w:r>
      <w:r w:rsidRPr="00B029E6">
        <w:tab/>
        <w:t xml:space="preserve">Baqui P, Bica I, Marra V, Ercole A, van der Schaar M. Ethnic and regional variations in hospital mortality from COVID-19 in Brazil: a cross-sectional observational study. </w:t>
      </w:r>
      <w:r w:rsidRPr="00B029E6">
        <w:rPr>
          <w:i/>
        </w:rPr>
        <w:t>Lancet Glob Health</w:t>
      </w:r>
      <w:r w:rsidRPr="00B029E6">
        <w:t xml:space="preserve"> 2020; </w:t>
      </w:r>
      <w:r w:rsidRPr="00B029E6">
        <w:rPr>
          <w:b/>
        </w:rPr>
        <w:t>8</w:t>
      </w:r>
      <w:r w:rsidRPr="00B029E6">
        <w:t>(8): e1018-e26.</w:t>
      </w:r>
    </w:p>
    <w:p w14:paraId="73C915F8" w14:textId="77777777" w:rsidR="00CA4C41" w:rsidRPr="00B029E6" w:rsidRDefault="00CA4C41" w:rsidP="00B029E6">
      <w:pPr>
        <w:pStyle w:val="EndNoteBibliography"/>
        <w:spacing w:after="0"/>
      </w:pPr>
      <w:r w:rsidRPr="00B029E6">
        <w:t>19.</w:t>
      </w:r>
      <w:r w:rsidRPr="00B029E6">
        <w:tab/>
        <w:t xml:space="preserve">Niquini RP, Lana RM, Pacheco AG, et al. Description and comparison of demographic characteristics and comorbidities in SARI from COVID-19, SARI from influenza, and the Brazilian general population. </w:t>
      </w:r>
      <w:r w:rsidRPr="00B029E6">
        <w:rPr>
          <w:i/>
        </w:rPr>
        <w:t>Cad Saude Publica</w:t>
      </w:r>
      <w:r w:rsidRPr="00B029E6">
        <w:t xml:space="preserve"> 2020; </w:t>
      </w:r>
      <w:r w:rsidRPr="00B029E6">
        <w:rPr>
          <w:b/>
        </w:rPr>
        <w:t>36</w:t>
      </w:r>
      <w:r w:rsidRPr="00B029E6">
        <w:t>(7): e00149420.</w:t>
      </w:r>
    </w:p>
    <w:p w14:paraId="045CB8F1" w14:textId="3ADBE137" w:rsidR="00CA4C41" w:rsidRPr="00B029E6" w:rsidRDefault="00CA4C41" w:rsidP="00B029E6">
      <w:pPr>
        <w:pStyle w:val="EndNoteBibliography"/>
        <w:spacing w:after="0"/>
      </w:pPr>
      <w:r w:rsidRPr="00B029E6">
        <w:lastRenderedPageBreak/>
        <w:t>20.</w:t>
      </w:r>
      <w:r w:rsidRPr="00B029E6">
        <w:tab/>
        <w:t xml:space="preserve">Ranzani OT, Bastos LSL, Gelli JGM, et al. Characterisation of the first 250,000 hospital admissions for COVID-19 in Brazil: a retrospective analysis of nationwide data. </w:t>
      </w:r>
      <w:r w:rsidRPr="00B029E6">
        <w:rPr>
          <w:i/>
        </w:rPr>
        <w:t>Lancet Respir Med</w:t>
      </w:r>
      <w:r w:rsidRPr="00B029E6">
        <w:t xml:space="preserve"> </w:t>
      </w:r>
      <w:r w:rsidR="00E25CE0">
        <w:t>2021</w:t>
      </w:r>
      <w:r w:rsidRPr="00B029E6">
        <w:t xml:space="preserve">; </w:t>
      </w:r>
      <w:r w:rsidRPr="00B029E6">
        <w:rPr>
          <w:b/>
        </w:rPr>
        <w:t>9</w:t>
      </w:r>
      <w:r w:rsidRPr="00B029E6">
        <w:t>(4): 407-18.</w:t>
      </w:r>
    </w:p>
    <w:p w14:paraId="742FB41D" w14:textId="77777777" w:rsidR="00CA4C41" w:rsidRPr="00B029E6" w:rsidRDefault="00CA4C41" w:rsidP="00B029E6">
      <w:pPr>
        <w:pStyle w:val="EndNoteBibliography"/>
        <w:spacing w:after="0"/>
      </w:pPr>
      <w:r w:rsidRPr="00B029E6">
        <w:t>21.</w:t>
      </w:r>
      <w:r w:rsidRPr="00B029E6">
        <w:tab/>
        <w:t xml:space="preserve">Hallal PC, Hartwig FP, Horta BL, et al. SARS-CoV-2 antibody prevalence in Brazil: results from two successive nationwide serological household surveys. </w:t>
      </w:r>
      <w:r w:rsidRPr="00B029E6">
        <w:rPr>
          <w:i/>
        </w:rPr>
        <w:t>Lancet Glob Health</w:t>
      </w:r>
      <w:r w:rsidRPr="00B029E6">
        <w:t xml:space="preserve"> 2020; </w:t>
      </w:r>
      <w:r w:rsidRPr="00B029E6">
        <w:rPr>
          <w:b/>
        </w:rPr>
        <w:t>8</w:t>
      </w:r>
      <w:r w:rsidRPr="00B029E6">
        <w:t>(11): e1390-e8.</w:t>
      </w:r>
    </w:p>
    <w:p w14:paraId="651DB013" w14:textId="205BCEFA" w:rsidR="00CA4C41" w:rsidRPr="00B029E6" w:rsidRDefault="00CA4C41" w:rsidP="00B029E6">
      <w:pPr>
        <w:pStyle w:val="EndNoteBibliography"/>
        <w:spacing w:after="0"/>
      </w:pPr>
      <w:r w:rsidRPr="00B029E6">
        <w:t>22.</w:t>
      </w:r>
      <w:r w:rsidRPr="00B029E6">
        <w:tab/>
        <w:t xml:space="preserve">Hallal PC, et al. Slow spread of SARS-CoV-2 in Southern Brazil over a six-month period: Report on eight sequential statewide serological surveys including 35,611 participants. </w:t>
      </w:r>
      <w:r w:rsidRPr="00B029E6">
        <w:rPr>
          <w:i/>
        </w:rPr>
        <w:t>Am J Public Health</w:t>
      </w:r>
      <w:r w:rsidRPr="00B029E6">
        <w:t xml:space="preserve"> </w:t>
      </w:r>
      <w:r w:rsidR="00E25CE0">
        <w:t>2021</w:t>
      </w:r>
      <w:r w:rsidRPr="00B029E6">
        <w:t xml:space="preserve">; </w:t>
      </w:r>
      <w:r w:rsidRPr="00B029E6">
        <w:rPr>
          <w:b/>
        </w:rPr>
        <w:t>(in press)</w:t>
      </w:r>
      <w:r w:rsidRPr="00B029E6">
        <w:t>.</w:t>
      </w:r>
    </w:p>
    <w:p w14:paraId="3EF8A657" w14:textId="77777777" w:rsidR="00CA4C41" w:rsidRPr="007A5856" w:rsidRDefault="00CA4C41" w:rsidP="00B029E6">
      <w:pPr>
        <w:pStyle w:val="EndNoteBibliography"/>
        <w:spacing w:after="0"/>
        <w:rPr>
          <w:lang w:val="pt-BR"/>
        </w:rPr>
      </w:pPr>
      <w:r w:rsidRPr="00B029E6">
        <w:t>23.</w:t>
      </w:r>
      <w:r w:rsidRPr="00B029E6">
        <w:tab/>
        <w:t xml:space="preserve">Albuquerque MVd, Viana ALdÁ, Lima LDd, Ferreira MP, Fusaro ER, Iozzi FL. </w:t>
      </w:r>
      <w:r w:rsidRPr="007A5856">
        <w:rPr>
          <w:lang w:val="pt-BR"/>
        </w:rPr>
        <w:t xml:space="preserve">Desigualdades regionais na saúde: mudanças observadas no Brasil de 2000 a 2016. </w:t>
      </w:r>
      <w:r w:rsidRPr="007A5856">
        <w:rPr>
          <w:i/>
          <w:lang w:val="pt-BR"/>
        </w:rPr>
        <w:t>Ciência &amp; Saúde Coletiva</w:t>
      </w:r>
      <w:r w:rsidRPr="007A5856">
        <w:rPr>
          <w:lang w:val="pt-BR"/>
        </w:rPr>
        <w:t xml:space="preserve"> 2017; </w:t>
      </w:r>
      <w:r w:rsidRPr="007A5856">
        <w:rPr>
          <w:b/>
          <w:lang w:val="pt-BR"/>
        </w:rPr>
        <w:t>22</w:t>
      </w:r>
      <w:r w:rsidRPr="007A5856">
        <w:rPr>
          <w:lang w:val="pt-BR"/>
        </w:rPr>
        <w:t>: 1055-64.</w:t>
      </w:r>
    </w:p>
    <w:p w14:paraId="230AFB8F" w14:textId="73EDAE80" w:rsidR="00E25CE0" w:rsidRPr="007A5856" w:rsidRDefault="00CA4C41" w:rsidP="00B029E6">
      <w:pPr>
        <w:pStyle w:val="EndNoteBibliography"/>
        <w:spacing w:after="0"/>
      </w:pPr>
      <w:r w:rsidRPr="007A5856">
        <w:rPr>
          <w:lang w:val="pt-BR"/>
        </w:rPr>
        <w:t>24.</w:t>
      </w:r>
      <w:r w:rsidRPr="007A5856">
        <w:rPr>
          <w:lang w:val="pt-BR"/>
        </w:rPr>
        <w:tab/>
        <w:t xml:space="preserve">Brasil. Ministério da Saúde. </w:t>
      </w:r>
      <w:r w:rsidRPr="00E25CE0">
        <w:rPr>
          <w:lang w:val="pt-BR"/>
        </w:rPr>
        <w:t xml:space="preserve">COVID-19 Vacinação - Distribuição de Vacinas. </w:t>
      </w:r>
      <w:hyperlink r:id="rId19" w:history="1">
        <w:r w:rsidR="00E25CE0" w:rsidRPr="007A5856">
          <w:rPr>
            <w:rStyle w:val="Hyperlink"/>
          </w:rPr>
          <w:t>https://qsprod.saude.gov.br/extensions/DEMAS_C19VAC_Distr/DEMAS_C19VAC_Distr.html</w:t>
        </w:r>
      </w:hyperlink>
    </w:p>
    <w:p w14:paraId="64121E7C" w14:textId="682563D5" w:rsidR="00CA4C41" w:rsidRPr="00E25CE0" w:rsidRDefault="00E25CE0" w:rsidP="00B029E6">
      <w:pPr>
        <w:pStyle w:val="EndNoteBibliography"/>
        <w:spacing w:after="0"/>
        <w:rPr>
          <w:lang w:val="pt-BR"/>
        </w:rPr>
      </w:pPr>
      <w:r w:rsidRPr="007A5856">
        <w:rPr>
          <w:lang w:val="pt-BR"/>
        </w:rPr>
        <w:t>(accessed June 15, 2021).</w:t>
      </w:r>
    </w:p>
    <w:p w14:paraId="262874CF" w14:textId="5C47BF2B" w:rsidR="00CA4C41" w:rsidRPr="007A5856" w:rsidRDefault="00CA4C41" w:rsidP="00B029E6">
      <w:pPr>
        <w:pStyle w:val="EndNoteBibliography"/>
        <w:rPr>
          <w:lang w:val="pt-BR"/>
        </w:rPr>
      </w:pPr>
      <w:r w:rsidRPr="007A5856">
        <w:rPr>
          <w:lang w:val="pt-BR"/>
        </w:rPr>
        <w:t>25.</w:t>
      </w:r>
      <w:r w:rsidRPr="007A5856">
        <w:rPr>
          <w:lang w:val="pt-BR"/>
        </w:rPr>
        <w:tab/>
        <w:t>Instituto Butantan. Projeto S: imunização em Serrana faz casos de Covid-19 despencarem 80% e mortes, 95%. https://butantan.gov.br/noticias/projeto-s-imunizacao-em-serrana-faz-casos-de-covid-19-despencarem-80-e-mortes-95 (accessed June 1</w:t>
      </w:r>
      <w:r w:rsidR="00E25CE0" w:rsidRPr="007A5856">
        <w:rPr>
          <w:lang w:val="pt-BR"/>
        </w:rPr>
        <w:t>5</w:t>
      </w:r>
      <w:r w:rsidRPr="007A5856">
        <w:rPr>
          <w:lang w:val="pt-BR"/>
        </w:rPr>
        <w:t xml:space="preserve">, </w:t>
      </w:r>
      <w:r w:rsidR="00E25CE0" w:rsidRPr="007A5856">
        <w:rPr>
          <w:lang w:val="pt-BR"/>
        </w:rPr>
        <w:t>2021)</w:t>
      </w:r>
      <w:r w:rsidRPr="007A5856">
        <w:rPr>
          <w:lang w:val="pt-BR"/>
        </w:rPr>
        <w:t>.</w:t>
      </w:r>
    </w:p>
    <w:p w14:paraId="7915E30A" w14:textId="77777777" w:rsidR="00CA4C41" w:rsidRPr="00866018" w:rsidRDefault="00CA4C41" w:rsidP="00562213">
      <w:pPr>
        <w:pStyle w:val="EndNoteBibliography"/>
        <w:spacing w:line="276" w:lineRule="auto"/>
        <w:rPr>
          <w:lang w:val="pt-BR"/>
        </w:rPr>
      </w:pPr>
    </w:p>
    <w:p w14:paraId="57B3FF87" w14:textId="7AAC7BE9" w:rsidR="009A5001" w:rsidRDefault="009A5001">
      <w:r>
        <w:br w:type="page"/>
      </w:r>
    </w:p>
    <w:p w14:paraId="461AA47D" w14:textId="39FD2C9D" w:rsidR="007D2AA7" w:rsidRDefault="007D2AA7"/>
    <w:p w14:paraId="40A54AAB" w14:textId="202E4E7A" w:rsidR="009A5001" w:rsidRDefault="009A5001"/>
    <w:p w14:paraId="3526EAB4" w14:textId="77777777" w:rsidR="009A5001" w:rsidRDefault="009A5001" w:rsidP="009A5001">
      <w:pPr>
        <w:pStyle w:val="Heading1"/>
        <w:spacing w:line="276" w:lineRule="auto"/>
        <w:rPr>
          <w:lang w:val="en-US"/>
        </w:rPr>
      </w:pPr>
      <w:r>
        <w:rPr>
          <w:lang w:val="en-US"/>
        </w:rPr>
        <w:softHyphen/>
      </w:r>
      <w:r>
        <w:rPr>
          <w:lang w:val="en-US"/>
        </w:rPr>
        <w:softHyphen/>
      </w:r>
      <w:r>
        <w:rPr>
          <w:lang w:val="en-US"/>
        </w:rPr>
        <w:softHyphen/>
      </w:r>
      <w:r>
        <w:rPr>
          <w:lang w:val="en-US"/>
        </w:rPr>
        <w:softHyphen/>
      </w:r>
      <w:r>
        <w:rPr>
          <w:lang w:val="en-US"/>
        </w:rPr>
        <w:softHyphen/>
      </w:r>
    </w:p>
    <w:p w14:paraId="3106D2E8" w14:textId="77777777" w:rsidR="009A5001" w:rsidRPr="001972BA" w:rsidRDefault="009A5001" w:rsidP="009A5001">
      <w:pPr>
        <w:pStyle w:val="Heading1"/>
        <w:spacing w:line="276" w:lineRule="auto"/>
        <w:jc w:val="center"/>
        <w:rPr>
          <w:b/>
          <w:bCs/>
          <w:lang w:val="en-US"/>
        </w:rPr>
      </w:pPr>
      <w:r w:rsidRPr="001972BA">
        <w:rPr>
          <w:b/>
          <w:bCs/>
          <w:lang w:val="en-US"/>
        </w:rPr>
        <w:t>Supplementary materials</w:t>
      </w:r>
    </w:p>
    <w:p w14:paraId="6DD5EE1D" w14:textId="77777777" w:rsidR="009A5001" w:rsidRPr="001972BA" w:rsidRDefault="009A5001" w:rsidP="009A5001">
      <w:pPr>
        <w:rPr>
          <w:lang w:val="en-US"/>
        </w:rPr>
      </w:pPr>
    </w:p>
    <w:p w14:paraId="431CB496" w14:textId="77777777" w:rsidR="009A5001" w:rsidRDefault="009A5001" w:rsidP="009A5001">
      <w:pPr>
        <w:pStyle w:val="Heading1"/>
        <w:spacing w:line="276" w:lineRule="auto"/>
        <w:jc w:val="center"/>
        <w:rPr>
          <w:lang w:val="en-US"/>
        </w:rPr>
      </w:pPr>
      <w:r>
        <w:rPr>
          <w:lang w:val="en-US"/>
        </w:rPr>
        <w:t>Estimating the early i</w:t>
      </w:r>
      <w:r w:rsidRPr="00FE4F41">
        <w:rPr>
          <w:lang w:val="en-US"/>
        </w:rPr>
        <w:t xml:space="preserve">mpact of </w:t>
      </w:r>
      <w:r>
        <w:rPr>
          <w:lang w:val="en-US"/>
        </w:rPr>
        <w:t>vaccination</w:t>
      </w:r>
      <w:r w:rsidRPr="00FE4F41">
        <w:rPr>
          <w:lang w:val="en-US"/>
        </w:rPr>
        <w:t xml:space="preserve"> </w:t>
      </w:r>
      <w:r>
        <w:rPr>
          <w:lang w:val="en-US"/>
        </w:rPr>
        <w:t xml:space="preserve">against COVID-19 </w:t>
      </w:r>
      <w:r w:rsidRPr="00FE4F41">
        <w:rPr>
          <w:lang w:val="en-US"/>
        </w:rPr>
        <w:t xml:space="preserve">on </w:t>
      </w:r>
      <w:r>
        <w:rPr>
          <w:lang w:val="en-US"/>
        </w:rPr>
        <w:t xml:space="preserve">deaths among elderly people in Brazil: </w:t>
      </w:r>
    </w:p>
    <w:p w14:paraId="3F48C79E" w14:textId="77777777" w:rsidR="009A5001" w:rsidRDefault="009A5001" w:rsidP="009A5001">
      <w:pPr>
        <w:pStyle w:val="Heading1"/>
        <w:spacing w:line="276" w:lineRule="auto"/>
        <w:jc w:val="center"/>
        <w:rPr>
          <w:lang w:val="en-US"/>
        </w:rPr>
      </w:pPr>
      <w:r>
        <w:rPr>
          <w:lang w:val="en-US"/>
        </w:rPr>
        <w:t>analyses of routinely-collected data on vaccine coverage and mortality.</w:t>
      </w:r>
    </w:p>
    <w:p w14:paraId="661ECC2B" w14:textId="77777777" w:rsidR="009A5001" w:rsidRDefault="009A5001" w:rsidP="009A5001">
      <w:pPr>
        <w:rPr>
          <w:b/>
          <w:bCs/>
          <w:sz w:val="24"/>
          <w:szCs w:val="24"/>
          <w:lang w:val="en-US"/>
        </w:rPr>
      </w:pPr>
    </w:p>
    <w:p w14:paraId="468B6A4F" w14:textId="77777777" w:rsidR="009A5001" w:rsidRDefault="009A5001" w:rsidP="009A5001">
      <w:pPr>
        <w:rPr>
          <w:b/>
          <w:bCs/>
          <w:sz w:val="24"/>
          <w:szCs w:val="24"/>
          <w:lang w:val="en-US"/>
        </w:rPr>
      </w:pPr>
    </w:p>
    <w:p w14:paraId="6D7A269F" w14:textId="77777777" w:rsidR="009A5001" w:rsidRDefault="009A5001" w:rsidP="009A5001">
      <w:pPr>
        <w:rPr>
          <w:b/>
          <w:bCs/>
          <w:sz w:val="24"/>
          <w:szCs w:val="24"/>
          <w:lang w:val="en-US"/>
        </w:rPr>
      </w:pPr>
      <w:r>
        <w:rPr>
          <w:b/>
          <w:bCs/>
          <w:sz w:val="24"/>
          <w:szCs w:val="24"/>
          <w:lang w:val="en-US"/>
        </w:rPr>
        <w:t>Table and Figure Captions:</w:t>
      </w:r>
    </w:p>
    <w:p w14:paraId="02289E5F" w14:textId="77777777" w:rsidR="009A5001" w:rsidRDefault="009A5001" w:rsidP="009A5001">
      <w:pPr>
        <w:rPr>
          <w:b/>
          <w:bCs/>
          <w:sz w:val="24"/>
          <w:szCs w:val="24"/>
          <w:lang w:val="en-US"/>
        </w:rPr>
      </w:pPr>
    </w:p>
    <w:p w14:paraId="6B5058AF" w14:textId="77777777" w:rsidR="009A5001" w:rsidRPr="001972BA" w:rsidRDefault="009A5001" w:rsidP="009A5001">
      <w:pPr>
        <w:rPr>
          <w:sz w:val="24"/>
          <w:szCs w:val="24"/>
          <w:lang w:val="en-US"/>
        </w:rPr>
      </w:pPr>
      <w:r w:rsidRPr="001972BA">
        <w:rPr>
          <w:sz w:val="24"/>
          <w:szCs w:val="24"/>
          <w:lang w:val="en-US"/>
        </w:rPr>
        <w:t>Supplementary table 1. Absolute number of deaths due to COVID-19 and to all other causes by epidemiological week according to age groups. Brazil,2021.</w:t>
      </w:r>
    </w:p>
    <w:p w14:paraId="046717EF" w14:textId="77777777" w:rsidR="009A5001" w:rsidRPr="001972BA" w:rsidRDefault="009A5001" w:rsidP="009A5001">
      <w:pPr>
        <w:rPr>
          <w:sz w:val="24"/>
          <w:szCs w:val="24"/>
          <w:lang w:val="en-US"/>
        </w:rPr>
      </w:pPr>
    </w:p>
    <w:p w14:paraId="020DD4AA" w14:textId="77777777" w:rsidR="009A5001" w:rsidRPr="001972BA" w:rsidRDefault="009A5001" w:rsidP="009A5001">
      <w:pPr>
        <w:spacing w:line="276" w:lineRule="auto"/>
        <w:rPr>
          <w:sz w:val="24"/>
          <w:szCs w:val="24"/>
          <w:lang w:val="en-US"/>
        </w:rPr>
      </w:pPr>
      <w:r w:rsidRPr="001972BA">
        <w:rPr>
          <w:sz w:val="24"/>
          <w:szCs w:val="24"/>
          <w:lang w:val="en-US"/>
        </w:rPr>
        <w:t xml:space="preserve">Supplementary figure 1. Proportionate mortality of individuals aged 80+ years due to COVID-19 relative to deaths at all ages due to COVID-19 by region and epidemiological week. Brazil, January to April 2021. </w:t>
      </w:r>
    </w:p>
    <w:p w14:paraId="67A43102" w14:textId="77777777" w:rsidR="009A5001" w:rsidRPr="001972BA" w:rsidRDefault="009A5001" w:rsidP="009A5001">
      <w:pPr>
        <w:rPr>
          <w:sz w:val="24"/>
          <w:szCs w:val="24"/>
          <w:lang w:val="en-US"/>
        </w:rPr>
      </w:pPr>
    </w:p>
    <w:p w14:paraId="20F8FCDC" w14:textId="77777777" w:rsidR="009A5001" w:rsidRPr="001972BA" w:rsidRDefault="009A5001" w:rsidP="009A5001">
      <w:pPr>
        <w:rPr>
          <w:sz w:val="24"/>
          <w:szCs w:val="24"/>
          <w:lang w:val="en-US"/>
        </w:rPr>
      </w:pPr>
      <w:r w:rsidRPr="001972BA">
        <w:rPr>
          <w:sz w:val="24"/>
          <w:szCs w:val="24"/>
          <w:lang w:val="en-US"/>
        </w:rPr>
        <w:t xml:space="preserve">Supplementary figure 2. Proportionate mortality due to COVID-19 of individuals aged 70-79 and 80+ years relative to deaths at all ages due to COVID-19 by month. Brazil, May 2020 to May 2021.  </w:t>
      </w:r>
    </w:p>
    <w:p w14:paraId="0B095A51" w14:textId="77777777" w:rsidR="009A5001" w:rsidRPr="001972BA" w:rsidRDefault="009A5001" w:rsidP="009A5001">
      <w:pPr>
        <w:rPr>
          <w:sz w:val="24"/>
          <w:szCs w:val="24"/>
          <w:lang w:val="en-US"/>
        </w:rPr>
      </w:pPr>
    </w:p>
    <w:p w14:paraId="00DA9977" w14:textId="77777777" w:rsidR="009A5001" w:rsidRPr="001972BA" w:rsidRDefault="009A5001" w:rsidP="009A5001">
      <w:pPr>
        <w:rPr>
          <w:lang w:val="en-US"/>
        </w:rPr>
      </w:pPr>
      <w:r w:rsidRPr="001972BA">
        <w:rPr>
          <w:sz w:val="24"/>
          <w:szCs w:val="24"/>
          <w:lang w:val="en-US"/>
        </w:rPr>
        <w:t xml:space="preserve">Supplementary figure 3. Sex-specific proportionate mortality due to COVID-19 of individuals aged 70-79 and 80+ years relative to deaths at all ages due to COVID-19 by month. Brazil, May 2020 to May 2021.  </w:t>
      </w:r>
    </w:p>
    <w:p w14:paraId="5D3E1B02" w14:textId="77777777" w:rsidR="009A5001" w:rsidRDefault="009A5001" w:rsidP="009A5001">
      <w:pPr>
        <w:rPr>
          <w:b/>
          <w:bCs/>
          <w:sz w:val="24"/>
          <w:szCs w:val="24"/>
          <w:lang w:val="en-US"/>
        </w:rPr>
      </w:pPr>
    </w:p>
    <w:p w14:paraId="329EFF15" w14:textId="77777777" w:rsidR="009A5001" w:rsidRDefault="009A5001" w:rsidP="009A5001">
      <w:pPr>
        <w:rPr>
          <w:b/>
          <w:bCs/>
          <w:sz w:val="24"/>
          <w:szCs w:val="24"/>
          <w:lang w:val="en-US"/>
        </w:rPr>
      </w:pPr>
    </w:p>
    <w:p w14:paraId="18ACA864" w14:textId="77777777" w:rsidR="009A5001" w:rsidRDefault="009A5001" w:rsidP="009A5001">
      <w:pPr>
        <w:rPr>
          <w:b/>
          <w:bCs/>
          <w:sz w:val="24"/>
          <w:szCs w:val="24"/>
          <w:lang w:val="en-US"/>
        </w:rPr>
      </w:pPr>
    </w:p>
    <w:p w14:paraId="3B1E8943" w14:textId="77777777" w:rsidR="009A5001" w:rsidRDefault="009A5001" w:rsidP="009A5001">
      <w:pPr>
        <w:rPr>
          <w:b/>
          <w:bCs/>
          <w:sz w:val="24"/>
          <w:szCs w:val="24"/>
          <w:lang w:val="en-US"/>
        </w:rPr>
        <w:sectPr w:rsidR="009A5001" w:rsidSect="00B029E6">
          <w:footerReference w:type="default" r:id="rId20"/>
          <w:pgSz w:w="11906" w:h="16838"/>
          <w:pgMar w:top="1417" w:right="1701" w:bottom="1417" w:left="1701" w:header="708" w:footer="708" w:gutter="0"/>
          <w:cols w:space="708"/>
          <w:docGrid w:linePitch="360"/>
        </w:sectPr>
      </w:pPr>
    </w:p>
    <w:p w14:paraId="32C4BD0D" w14:textId="0F3D3B74" w:rsidR="009A5001" w:rsidRPr="005B1DCD" w:rsidRDefault="009A5001" w:rsidP="009A5001">
      <w:pPr>
        <w:rPr>
          <w:b/>
          <w:bCs/>
          <w:sz w:val="24"/>
          <w:szCs w:val="24"/>
          <w:lang w:val="en-US"/>
        </w:rPr>
      </w:pPr>
      <w:r w:rsidRPr="005B1DCD">
        <w:rPr>
          <w:b/>
          <w:bCs/>
          <w:sz w:val="24"/>
          <w:szCs w:val="24"/>
          <w:lang w:val="en-US"/>
        </w:rPr>
        <w:lastRenderedPageBreak/>
        <w:t>Supplementary table 1. Absolute number of deaths due to COVID-19 and to all other causes by epidemiological week according to age groups.</w:t>
      </w:r>
      <w:r>
        <w:rPr>
          <w:b/>
          <w:bCs/>
          <w:sz w:val="24"/>
          <w:szCs w:val="24"/>
          <w:lang w:val="en-US"/>
        </w:rPr>
        <w:t xml:space="preserve"> Brazil,2021.</w:t>
      </w:r>
    </w:p>
    <w:tbl>
      <w:tblPr>
        <w:tblW w:w="15010" w:type="dxa"/>
        <w:tblCellMar>
          <w:left w:w="70" w:type="dxa"/>
          <w:right w:w="70" w:type="dxa"/>
        </w:tblCellMar>
        <w:tblLook w:val="04A0" w:firstRow="1" w:lastRow="0" w:firstColumn="1" w:lastColumn="0" w:noHBand="0" w:noVBand="1"/>
      </w:tblPr>
      <w:tblGrid>
        <w:gridCol w:w="1020"/>
        <w:gridCol w:w="680"/>
        <w:gridCol w:w="719"/>
        <w:gridCol w:w="680"/>
        <w:gridCol w:w="719"/>
        <w:gridCol w:w="680"/>
        <w:gridCol w:w="719"/>
        <w:gridCol w:w="680"/>
        <w:gridCol w:w="719"/>
        <w:gridCol w:w="680"/>
        <w:gridCol w:w="719"/>
        <w:gridCol w:w="680"/>
        <w:gridCol w:w="719"/>
        <w:gridCol w:w="680"/>
        <w:gridCol w:w="719"/>
        <w:gridCol w:w="680"/>
        <w:gridCol w:w="719"/>
        <w:gridCol w:w="680"/>
        <w:gridCol w:w="719"/>
        <w:gridCol w:w="680"/>
        <w:gridCol w:w="719"/>
      </w:tblGrid>
      <w:tr w:rsidR="009A5001" w:rsidRPr="009A5001" w14:paraId="32E1C143" w14:textId="77777777" w:rsidTr="003C3BD1">
        <w:trPr>
          <w:trHeight w:val="348"/>
        </w:trPr>
        <w:tc>
          <w:tcPr>
            <w:tcW w:w="1020" w:type="dxa"/>
            <w:tcBorders>
              <w:top w:val="nil"/>
              <w:left w:val="nil"/>
              <w:bottom w:val="nil"/>
              <w:right w:val="nil"/>
            </w:tcBorders>
            <w:shd w:val="clear" w:color="auto" w:fill="auto"/>
            <w:noWrap/>
            <w:vAlign w:val="bottom"/>
            <w:hideMark/>
          </w:tcPr>
          <w:p w14:paraId="40956275"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Age (</w:t>
            </w:r>
            <w:proofErr w:type="spellStart"/>
            <w:r w:rsidRPr="009A5001">
              <w:rPr>
                <w:rFonts w:ascii="Calibri" w:eastAsia="Times New Roman" w:hAnsi="Calibri" w:cs="Calibri"/>
                <w:color w:val="000000"/>
                <w:sz w:val="18"/>
                <w:szCs w:val="18"/>
                <w:lang w:eastAsia="pt-BR"/>
              </w:rPr>
              <w:t>years</w:t>
            </w:r>
            <w:proofErr w:type="spellEnd"/>
            <w:r w:rsidRPr="009A5001">
              <w:rPr>
                <w:rFonts w:ascii="Calibri" w:eastAsia="Times New Roman" w:hAnsi="Calibri" w:cs="Calibri"/>
                <w:color w:val="000000"/>
                <w:sz w:val="18"/>
                <w:szCs w:val="18"/>
                <w:lang w:eastAsia="pt-BR"/>
              </w:rPr>
              <w:t>)</w:t>
            </w:r>
          </w:p>
        </w:tc>
        <w:tc>
          <w:tcPr>
            <w:tcW w:w="1399" w:type="dxa"/>
            <w:gridSpan w:val="2"/>
            <w:tcBorders>
              <w:top w:val="nil"/>
              <w:left w:val="nil"/>
              <w:bottom w:val="nil"/>
              <w:right w:val="nil"/>
            </w:tcBorders>
            <w:shd w:val="clear" w:color="auto" w:fill="auto"/>
            <w:noWrap/>
            <w:vAlign w:val="bottom"/>
            <w:hideMark/>
          </w:tcPr>
          <w:p w14:paraId="3DEEE7F6"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0-9</w:t>
            </w:r>
          </w:p>
        </w:tc>
        <w:tc>
          <w:tcPr>
            <w:tcW w:w="1399" w:type="dxa"/>
            <w:gridSpan w:val="2"/>
            <w:tcBorders>
              <w:top w:val="nil"/>
              <w:left w:val="nil"/>
              <w:bottom w:val="nil"/>
              <w:right w:val="nil"/>
            </w:tcBorders>
            <w:shd w:val="clear" w:color="auto" w:fill="auto"/>
            <w:noWrap/>
            <w:vAlign w:val="bottom"/>
            <w:hideMark/>
          </w:tcPr>
          <w:p w14:paraId="1145B0D2"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10-19</w:t>
            </w:r>
          </w:p>
        </w:tc>
        <w:tc>
          <w:tcPr>
            <w:tcW w:w="1399" w:type="dxa"/>
            <w:gridSpan w:val="2"/>
            <w:tcBorders>
              <w:top w:val="nil"/>
              <w:left w:val="nil"/>
              <w:bottom w:val="nil"/>
              <w:right w:val="nil"/>
            </w:tcBorders>
            <w:shd w:val="clear" w:color="auto" w:fill="auto"/>
            <w:noWrap/>
            <w:vAlign w:val="bottom"/>
            <w:hideMark/>
          </w:tcPr>
          <w:p w14:paraId="399D23B5"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20-29</w:t>
            </w:r>
          </w:p>
        </w:tc>
        <w:tc>
          <w:tcPr>
            <w:tcW w:w="1399" w:type="dxa"/>
            <w:gridSpan w:val="2"/>
            <w:tcBorders>
              <w:top w:val="nil"/>
              <w:left w:val="nil"/>
              <w:bottom w:val="nil"/>
              <w:right w:val="nil"/>
            </w:tcBorders>
            <w:shd w:val="clear" w:color="auto" w:fill="auto"/>
            <w:noWrap/>
            <w:vAlign w:val="bottom"/>
            <w:hideMark/>
          </w:tcPr>
          <w:p w14:paraId="5C6FB22A"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30-39</w:t>
            </w:r>
          </w:p>
        </w:tc>
        <w:tc>
          <w:tcPr>
            <w:tcW w:w="1399" w:type="dxa"/>
            <w:gridSpan w:val="2"/>
            <w:tcBorders>
              <w:top w:val="nil"/>
              <w:left w:val="nil"/>
              <w:bottom w:val="nil"/>
              <w:right w:val="nil"/>
            </w:tcBorders>
            <w:shd w:val="clear" w:color="auto" w:fill="auto"/>
            <w:noWrap/>
            <w:vAlign w:val="bottom"/>
            <w:hideMark/>
          </w:tcPr>
          <w:p w14:paraId="4412E62D"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40-49</w:t>
            </w:r>
          </w:p>
        </w:tc>
        <w:tc>
          <w:tcPr>
            <w:tcW w:w="1399" w:type="dxa"/>
            <w:gridSpan w:val="2"/>
            <w:tcBorders>
              <w:top w:val="nil"/>
              <w:left w:val="nil"/>
              <w:bottom w:val="nil"/>
              <w:right w:val="nil"/>
            </w:tcBorders>
            <w:shd w:val="clear" w:color="auto" w:fill="auto"/>
            <w:noWrap/>
            <w:vAlign w:val="bottom"/>
            <w:hideMark/>
          </w:tcPr>
          <w:p w14:paraId="24151BEC"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50-59</w:t>
            </w:r>
          </w:p>
        </w:tc>
        <w:tc>
          <w:tcPr>
            <w:tcW w:w="1399" w:type="dxa"/>
            <w:gridSpan w:val="2"/>
            <w:tcBorders>
              <w:top w:val="nil"/>
              <w:left w:val="nil"/>
              <w:bottom w:val="nil"/>
              <w:right w:val="nil"/>
            </w:tcBorders>
            <w:shd w:val="clear" w:color="auto" w:fill="auto"/>
            <w:noWrap/>
            <w:vAlign w:val="bottom"/>
            <w:hideMark/>
          </w:tcPr>
          <w:p w14:paraId="58DD02D3"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60-69</w:t>
            </w:r>
          </w:p>
        </w:tc>
        <w:tc>
          <w:tcPr>
            <w:tcW w:w="1399" w:type="dxa"/>
            <w:gridSpan w:val="2"/>
            <w:tcBorders>
              <w:top w:val="nil"/>
              <w:left w:val="nil"/>
              <w:bottom w:val="nil"/>
              <w:right w:val="nil"/>
            </w:tcBorders>
            <w:shd w:val="clear" w:color="auto" w:fill="auto"/>
            <w:noWrap/>
            <w:vAlign w:val="bottom"/>
            <w:hideMark/>
          </w:tcPr>
          <w:p w14:paraId="31C24D8B"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70-79</w:t>
            </w:r>
          </w:p>
        </w:tc>
        <w:tc>
          <w:tcPr>
            <w:tcW w:w="1399" w:type="dxa"/>
            <w:gridSpan w:val="2"/>
            <w:tcBorders>
              <w:top w:val="nil"/>
              <w:left w:val="nil"/>
              <w:bottom w:val="nil"/>
              <w:right w:val="nil"/>
            </w:tcBorders>
            <w:shd w:val="clear" w:color="auto" w:fill="auto"/>
            <w:noWrap/>
            <w:vAlign w:val="bottom"/>
            <w:hideMark/>
          </w:tcPr>
          <w:p w14:paraId="06258EC3" w14:textId="77777777" w:rsidR="009A5001" w:rsidRPr="009A5001" w:rsidRDefault="009A5001" w:rsidP="003C3BD1">
            <w:pPr>
              <w:spacing w:after="0" w:line="240" w:lineRule="auto"/>
              <w:jc w:val="center"/>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80-89</w:t>
            </w:r>
          </w:p>
        </w:tc>
        <w:tc>
          <w:tcPr>
            <w:tcW w:w="1399" w:type="dxa"/>
            <w:gridSpan w:val="2"/>
            <w:tcBorders>
              <w:top w:val="nil"/>
              <w:left w:val="nil"/>
              <w:bottom w:val="nil"/>
              <w:right w:val="nil"/>
            </w:tcBorders>
            <w:shd w:val="clear" w:color="000000" w:fill="FFFFFF"/>
            <w:noWrap/>
            <w:vAlign w:val="bottom"/>
            <w:hideMark/>
          </w:tcPr>
          <w:p w14:paraId="69E28A55" w14:textId="77777777" w:rsidR="009A5001" w:rsidRPr="009A5001" w:rsidRDefault="009A5001" w:rsidP="003C3BD1">
            <w:pPr>
              <w:spacing w:after="0" w:line="240" w:lineRule="auto"/>
              <w:jc w:val="center"/>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90+</w:t>
            </w:r>
          </w:p>
        </w:tc>
      </w:tr>
      <w:tr w:rsidR="009A5001" w:rsidRPr="009A5001" w14:paraId="6874E52E" w14:textId="77777777" w:rsidTr="003C3BD1">
        <w:trPr>
          <w:trHeight w:val="348"/>
        </w:trPr>
        <w:tc>
          <w:tcPr>
            <w:tcW w:w="1020" w:type="dxa"/>
            <w:tcBorders>
              <w:top w:val="nil"/>
              <w:left w:val="nil"/>
              <w:bottom w:val="nil"/>
              <w:right w:val="nil"/>
            </w:tcBorders>
            <w:shd w:val="clear" w:color="auto" w:fill="auto"/>
            <w:noWrap/>
            <w:vAlign w:val="bottom"/>
            <w:hideMark/>
          </w:tcPr>
          <w:p w14:paraId="19BFEDC6"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Cause</w:t>
            </w:r>
          </w:p>
        </w:tc>
        <w:tc>
          <w:tcPr>
            <w:tcW w:w="680" w:type="dxa"/>
            <w:tcBorders>
              <w:top w:val="nil"/>
              <w:left w:val="nil"/>
              <w:bottom w:val="nil"/>
              <w:right w:val="nil"/>
            </w:tcBorders>
            <w:shd w:val="clear" w:color="auto" w:fill="auto"/>
            <w:noWrap/>
            <w:vAlign w:val="bottom"/>
            <w:hideMark/>
          </w:tcPr>
          <w:p w14:paraId="731194E0"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04894E50"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228E0D22"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3E9AA26D"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4D55F79A"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7608BE23"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487333D5"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06985A9C"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1DD8B930"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1E4527DA"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5E169FA0"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24F69744"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2315D2E3"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1748175F"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43B5673C"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21464CD4"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20FE274D"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513676FC"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c>
          <w:tcPr>
            <w:tcW w:w="680" w:type="dxa"/>
            <w:tcBorders>
              <w:top w:val="nil"/>
              <w:left w:val="nil"/>
              <w:bottom w:val="nil"/>
              <w:right w:val="nil"/>
            </w:tcBorders>
            <w:shd w:val="clear" w:color="auto" w:fill="auto"/>
            <w:noWrap/>
            <w:vAlign w:val="bottom"/>
            <w:hideMark/>
          </w:tcPr>
          <w:p w14:paraId="317F7C5C"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Other</w:t>
            </w:r>
          </w:p>
        </w:tc>
        <w:tc>
          <w:tcPr>
            <w:tcW w:w="719" w:type="dxa"/>
            <w:tcBorders>
              <w:top w:val="nil"/>
              <w:left w:val="nil"/>
              <w:bottom w:val="nil"/>
              <w:right w:val="nil"/>
            </w:tcBorders>
            <w:shd w:val="clear" w:color="auto" w:fill="auto"/>
            <w:noWrap/>
            <w:vAlign w:val="bottom"/>
            <w:hideMark/>
          </w:tcPr>
          <w:p w14:paraId="02D2B4F6"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COVID</w:t>
            </w:r>
          </w:p>
        </w:tc>
      </w:tr>
      <w:tr w:rsidR="009A5001" w:rsidRPr="009A5001" w14:paraId="51706E2B" w14:textId="77777777" w:rsidTr="003C3BD1">
        <w:trPr>
          <w:trHeight w:val="348"/>
        </w:trPr>
        <w:tc>
          <w:tcPr>
            <w:tcW w:w="1020" w:type="dxa"/>
            <w:tcBorders>
              <w:top w:val="nil"/>
              <w:left w:val="nil"/>
              <w:bottom w:val="nil"/>
              <w:right w:val="nil"/>
            </w:tcBorders>
            <w:shd w:val="clear" w:color="auto" w:fill="auto"/>
            <w:noWrap/>
            <w:vAlign w:val="bottom"/>
            <w:hideMark/>
          </w:tcPr>
          <w:p w14:paraId="67890F2C"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Week</w:t>
            </w:r>
          </w:p>
        </w:tc>
        <w:tc>
          <w:tcPr>
            <w:tcW w:w="680" w:type="dxa"/>
            <w:tcBorders>
              <w:top w:val="nil"/>
              <w:left w:val="nil"/>
              <w:bottom w:val="nil"/>
              <w:right w:val="nil"/>
            </w:tcBorders>
            <w:shd w:val="clear" w:color="auto" w:fill="auto"/>
            <w:noWrap/>
            <w:vAlign w:val="bottom"/>
            <w:hideMark/>
          </w:tcPr>
          <w:p w14:paraId="1017E653"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p>
        </w:tc>
        <w:tc>
          <w:tcPr>
            <w:tcW w:w="719" w:type="dxa"/>
            <w:tcBorders>
              <w:top w:val="nil"/>
              <w:left w:val="nil"/>
              <w:bottom w:val="nil"/>
              <w:right w:val="nil"/>
            </w:tcBorders>
            <w:shd w:val="clear" w:color="auto" w:fill="auto"/>
            <w:noWrap/>
            <w:vAlign w:val="bottom"/>
            <w:hideMark/>
          </w:tcPr>
          <w:p w14:paraId="7FEBC1BC"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auto" w:fill="auto"/>
            <w:noWrap/>
            <w:vAlign w:val="bottom"/>
            <w:hideMark/>
          </w:tcPr>
          <w:p w14:paraId="1274435C"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719" w:type="dxa"/>
            <w:tcBorders>
              <w:top w:val="nil"/>
              <w:left w:val="nil"/>
              <w:bottom w:val="nil"/>
              <w:right w:val="nil"/>
            </w:tcBorders>
            <w:shd w:val="clear" w:color="auto" w:fill="auto"/>
            <w:noWrap/>
            <w:vAlign w:val="bottom"/>
            <w:hideMark/>
          </w:tcPr>
          <w:p w14:paraId="1148CFDB"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auto" w:fill="auto"/>
            <w:noWrap/>
            <w:vAlign w:val="bottom"/>
            <w:hideMark/>
          </w:tcPr>
          <w:p w14:paraId="315AB736"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719" w:type="dxa"/>
            <w:tcBorders>
              <w:top w:val="nil"/>
              <w:left w:val="nil"/>
              <w:bottom w:val="nil"/>
              <w:right w:val="nil"/>
            </w:tcBorders>
            <w:shd w:val="clear" w:color="auto" w:fill="auto"/>
            <w:noWrap/>
            <w:vAlign w:val="bottom"/>
            <w:hideMark/>
          </w:tcPr>
          <w:p w14:paraId="0033645E"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auto" w:fill="auto"/>
            <w:noWrap/>
            <w:vAlign w:val="bottom"/>
            <w:hideMark/>
          </w:tcPr>
          <w:p w14:paraId="4E9E2424"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719" w:type="dxa"/>
            <w:tcBorders>
              <w:top w:val="nil"/>
              <w:left w:val="nil"/>
              <w:bottom w:val="nil"/>
              <w:right w:val="nil"/>
            </w:tcBorders>
            <w:shd w:val="clear" w:color="auto" w:fill="auto"/>
            <w:noWrap/>
            <w:vAlign w:val="bottom"/>
            <w:hideMark/>
          </w:tcPr>
          <w:p w14:paraId="23DD698D"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auto" w:fill="auto"/>
            <w:noWrap/>
            <w:vAlign w:val="bottom"/>
            <w:hideMark/>
          </w:tcPr>
          <w:p w14:paraId="0026FA61"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719" w:type="dxa"/>
            <w:tcBorders>
              <w:top w:val="nil"/>
              <w:left w:val="nil"/>
              <w:bottom w:val="nil"/>
              <w:right w:val="nil"/>
            </w:tcBorders>
            <w:shd w:val="clear" w:color="auto" w:fill="auto"/>
            <w:noWrap/>
            <w:vAlign w:val="bottom"/>
            <w:hideMark/>
          </w:tcPr>
          <w:p w14:paraId="725FF888"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auto" w:fill="auto"/>
            <w:noWrap/>
            <w:vAlign w:val="bottom"/>
            <w:hideMark/>
          </w:tcPr>
          <w:p w14:paraId="66CE7A6F"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719" w:type="dxa"/>
            <w:tcBorders>
              <w:top w:val="nil"/>
              <w:left w:val="nil"/>
              <w:bottom w:val="nil"/>
              <w:right w:val="nil"/>
            </w:tcBorders>
            <w:shd w:val="clear" w:color="auto" w:fill="auto"/>
            <w:noWrap/>
            <w:vAlign w:val="bottom"/>
            <w:hideMark/>
          </w:tcPr>
          <w:p w14:paraId="1A3BD44F"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auto" w:fill="auto"/>
            <w:noWrap/>
            <w:vAlign w:val="bottom"/>
            <w:hideMark/>
          </w:tcPr>
          <w:p w14:paraId="044CA854"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719" w:type="dxa"/>
            <w:tcBorders>
              <w:top w:val="nil"/>
              <w:left w:val="nil"/>
              <w:bottom w:val="nil"/>
              <w:right w:val="nil"/>
            </w:tcBorders>
            <w:shd w:val="clear" w:color="auto" w:fill="auto"/>
            <w:noWrap/>
            <w:vAlign w:val="bottom"/>
            <w:hideMark/>
          </w:tcPr>
          <w:p w14:paraId="0BE258E3"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auto" w:fill="auto"/>
            <w:noWrap/>
            <w:vAlign w:val="bottom"/>
            <w:hideMark/>
          </w:tcPr>
          <w:p w14:paraId="0578C30D"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719" w:type="dxa"/>
            <w:tcBorders>
              <w:top w:val="nil"/>
              <w:left w:val="nil"/>
              <w:bottom w:val="nil"/>
              <w:right w:val="nil"/>
            </w:tcBorders>
            <w:shd w:val="clear" w:color="auto" w:fill="auto"/>
            <w:noWrap/>
            <w:vAlign w:val="bottom"/>
            <w:hideMark/>
          </w:tcPr>
          <w:p w14:paraId="04DF8140"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auto" w:fill="auto"/>
            <w:noWrap/>
            <w:vAlign w:val="bottom"/>
            <w:hideMark/>
          </w:tcPr>
          <w:p w14:paraId="0D6E1838"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719" w:type="dxa"/>
            <w:tcBorders>
              <w:top w:val="nil"/>
              <w:left w:val="nil"/>
              <w:bottom w:val="nil"/>
              <w:right w:val="nil"/>
            </w:tcBorders>
            <w:shd w:val="clear" w:color="auto" w:fill="auto"/>
            <w:noWrap/>
            <w:vAlign w:val="bottom"/>
            <w:hideMark/>
          </w:tcPr>
          <w:p w14:paraId="53A3D703" w14:textId="77777777" w:rsidR="009A5001" w:rsidRPr="009A5001" w:rsidRDefault="009A5001" w:rsidP="003C3BD1">
            <w:pPr>
              <w:spacing w:after="0" w:line="240" w:lineRule="auto"/>
              <w:rPr>
                <w:rFonts w:ascii="Times New Roman" w:eastAsia="Times New Roman" w:hAnsi="Times New Roman" w:cs="Times New Roman"/>
                <w:sz w:val="18"/>
                <w:szCs w:val="18"/>
                <w:lang w:eastAsia="pt-BR"/>
              </w:rPr>
            </w:pPr>
          </w:p>
        </w:tc>
        <w:tc>
          <w:tcPr>
            <w:tcW w:w="680" w:type="dxa"/>
            <w:tcBorders>
              <w:top w:val="nil"/>
              <w:left w:val="nil"/>
              <w:bottom w:val="nil"/>
              <w:right w:val="nil"/>
            </w:tcBorders>
            <w:shd w:val="clear" w:color="000000" w:fill="FFFFFF"/>
            <w:noWrap/>
            <w:vAlign w:val="bottom"/>
            <w:hideMark/>
          </w:tcPr>
          <w:p w14:paraId="4F7C708C" w14:textId="77777777" w:rsidR="009A5001" w:rsidRPr="009A5001" w:rsidRDefault="009A5001" w:rsidP="003C3BD1">
            <w:pPr>
              <w:spacing w:after="0" w:line="240" w:lineRule="auto"/>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 </w:t>
            </w:r>
          </w:p>
        </w:tc>
        <w:tc>
          <w:tcPr>
            <w:tcW w:w="719" w:type="dxa"/>
            <w:tcBorders>
              <w:top w:val="nil"/>
              <w:left w:val="nil"/>
              <w:bottom w:val="nil"/>
              <w:right w:val="nil"/>
            </w:tcBorders>
            <w:shd w:val="clear" w:color="000000" w:fill="FFFFFF"/>
            <w:noWrap/>
            <w:vAlign w:val="bottom"/>
            <w:hideMark/>
          </w:tcPr>
          <w:p w14:paraId="73F67842" w14:textId="77777777" w:rsidR="009A5001" w:rsidRPr="009A5001" w:rsidRDefault="009A5001" w:rsidP="003C3BD1">
            <w:pPr>
              <w:spacing w:after="0" w:line="240" w:lineRule="auto"/>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 </w:t>
            </w:r>
          </w:p>
        </w:tc>
      </w:tr>
      <w:tr w:rsidR="009A5001" w:rsidRPr="009A5001" w14:paraId="40A17F34" w14:textId="77777777" w:rsidTr="003C3BD1">
        <w:trPr>
          <w:trHeight w:val="348"/>
        </w:trPr>
        <w:tc>
          <w:tcPr>
            <w:tcW w:w="1020" w:type="dxa"/>
            <w:tcBorders>
              <w:top w:val="nil"/>
              <w:left w:val="nil"/>
              <w:bottom w:val="nil"/>
              <w:right w:val="nil"/>
            </w:tcBorders>
            <w:shd w:val="clear" w:color="auto" w:fill="auto"/>
            <w:noWrap/>
            <w:vAlign w:val="bottom"/>
            <w:hideMark/>
          </w:tcPr>
          <w:p w14:paraId="613F3A91"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w:t>
            </w:r>
          </w:p>
        </w:tc>
        <w:tc>
          <w:tcPr>
            <w:tcW w:w="680" w:type="dxa"/>
            <w:tcBorders>
              <w:top w:val="nil"/>
              <w:left w:val="nil"/>
              <w:bottom w:val="nil"/>
              <w:right w:val="nil"/>
            </w:tcBorders>
            <w:shd w:val="clear" w:color="auto" w:fill="auto"/>
            <w:noWrap/>
            <w:vAlign w:val="bottom"/>
            <w:hideMark/>
          </w:tcPr>
          <w:p w14:paraId="51B6A97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783</w:t>
            </w:r>
          </w:p>
        </w:tc>
        <w:tc>
          <w:tcPr>
            <w:tcW w:w="719" w:type="dxa"/>
            <w:tcBorders>
              <w:top w:val="nil"/>
              <w:left w:val="nil"/>
              <w:bottom w:val="nil"/>
              <w:right w:val="nil"/>
            </w:tcBorders>
            <w:shd w:val="clear" w:color="auto" w:fill="auto"/>
            <w:noWrap/>
            <w:vAlign w:val="bottom"/>
            <w:hideMark/>
          </w:tcPr>
          <w:p w14:paraId="678F029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w:t>
            </w:r>
          </w:p>
        </w:tc>
        <w:tc>
          <w:tcPr>
            <w:tcW w:w="680" w:type="dxa"/>
            <w:tcBorders>
              <w:top w:val="nil"/>
              <w:left w:val="nil"/>
              <w:bottom w:val="nil"/>
              <w:right w:val="nil"/>
            </w:tcBorders>
            <w:shd w:val="clear" w:color="auto" w:fill="auto"/>
            <w:noWrap/>
            <w:vAlign w:val="bottom"/>
            <w:hideMark/>
          </w:tcPr>
          <w:p w14:paraId="7462E03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386</w:t>
            </w:r>
          </w:p>
        </w:tc>
        <w:tc>
          <w:tcPr>
            <w:tcW w:w="719" w:type="dxa"/>
            <w:tcBorders>
              <w:top w:val="nil"/>
              <w:left w:val="nil"/>
              <w:bottom w:val="nil"/>
              <w:right w:val="nil"/>
            </w:tcBorders>
            <w:shd w:val="clear" w:color="auto" w:fill="auto"/>
            <w:noWrap/>
            <w:vAlign w:val="bottom"/>
            <w:hideMark/>
          </w:tcPr>
          <w:p w14:paraId="1041D41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w:t>
            </w:r>
          </w:p>
        </w:tc>
        <w:tc>
          <w:tcPr>
            <w:tcW w:w="680" w:type="dxa"/>
            <w:tcBorders>
              <w:top w:val="nil"/>
              <w:left w:val="nil"/>
              <w:bottom w:val="nil"/>
              <w:right w:val="nil"/>
            </w:tcBorders>
            <w:shd w:val="clear" w:color="auto" w:fill="auto"/>
            <w:noWrap/>
            <w:vAlign w:val="bottom"/>
            <w:hideMark/>
          </w:tcPr>
          <w:p w14:paraId="48722BE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967</w:t>
            </w:r>
          </w:p>
        </w:tc>
        <w:tc>
          <w:tcPr>
            <w:tcW w:w="719" w:type="dxa"/>
            <w:tcBorders>
              <w:top w:val="nil"/>
              <w:left w:val="nil"/>
              <w:bottom w:val="nil"/>
              <w:right w:val="nil"/>
            </w:tcBorders>
            <w:shd w:val="clear" w:color="auto" w:fill="auto"/>
            <w:noWrap/>
            <w:vAlign w:val="bottom"/>
            <w:hideMark/>
          </w:tcPr>
          <w:p w14:paraId="5F0C1E6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52</w:t>
            </w:r>
          </w:p>
        </w:tc>
        <w:tc>
          <w:tcPr>
            <w:tcW w:w="680" w:type="dxa"/>
            <w:tcBorders>
              <w:top w:val="nil"/>
              <w:left w:val="nil"/>
              <w:bottom w:val="nil"/>
              <w:right w:val="nil"/>
            </w:tcBorders>
            <w:shd w:val="clear" w:color="auto" w:fill="auto"/>
            <w:noWrap/>
            <w:vAlign w:val="bottom"/>
            <w:hideMark/>
          </w:tcPr>
          <w:p w14:paraId="6EF83B0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1,216</w:t>
            </w:r>
          </w:p>
        </w:tc>
        <w:tc>
          <w:tcPr>
            <w:tcW w:w="719" w:type="dxa"/>
            <w:tcBorders>
              <w:top w:val="nil"/>
              <w:left w:val="nil"/>
              <w:bottom w:val="nil"/>
              <w:right w:val="nil"/>
            </w:tcBorders>
            <w:shd w:val="clear" w:color="auto" w:fill="auto"/>
            <w:noWrap/>
            <w:vAlign w:val="bottom"/>
            <w:hideMark/>
          </w:tcPr>
          <w:p w14:paraId="43FE3A7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164</w:t>
            </w:r>
          </w:p>
        </w:tc>
        <w:tc>
          <w:tcPr>
            <w:tcW w:w="680" w:type="dxa"/>
            <w:tcBorders>
              <w:top w:val="nil"/>
              <w:left w:val="nil"/>
              <w:bottom w:val="nil"/>
              <w:right w:val="nil"/>
            </w:tcBorders>
            <w:shd w:val="clear" w:color="auto" w:fill="auto"/>
            <w:noWrap/>
            <w:vAlign w:val="bottom"/>
            <w:hideMark/>
          </w:tcPr>
          <w:p w14:paraId="0B14B6E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1,766</w:t>
            </w:r>
          </w:p>
        </w:tc>
        <w:tc>
          <w:tcPr>
            <w:tcW w:w="719" w:type="dxa"/>
            <w:tcBorders>
              <w:top w:val="nil"/>
              <w:left w:val="nil"/>
              <w:bottom w:val="nil"/>
              <w:right w:val="nil"/>
            </w:tcBorders>
            <w:shd w:val="clear" w:color="auto" w:fill="auto"/>
            <w:noWrap/>
            <w:vAlign w:val="bottom"/>
            <w:hideMark/>
          </w:tcPr>
          <w:p w14:paraId="34BA6C9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389</w:t>
            </w:r>
          </w:p>
        </w:tc>
        <w:tc>
          <w:tcPr>
            <w:tcW w:w="680" w:type="dxa"/>
            <w:tcBorders>
              <w:top w:val="nil"/>
              <w:left w:val="nil"/>
              <w:bottom w:val="nil"/>
              <w:right w:val="nil"/>
            </w:tcBorders>
            <w:shd w:val="clear" w:color="auto" w:fill="auto"/>
            <w:noWrap/>
            <w:vAlign w:val="bottom"/>
            <w:hideMark/>
          </w:tcPr>
          <w:p w14:paraId="6EE4325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3,079</w:t>
            </w:r>
          </w:p>
        </w:tc>
        <w:tc>
          <w:tcPr>
            <w:tcW w:w="719" w:type="dxa"/>
            <w:tcBorders>
              <w:top w:val="nil"/>
              <w:left w:val="nil"/>
              <w:bottom w:val="nil"/>
              <w:right w:val="nil"/>
            </w:tcBorders>
            <w:shd w:val="clear" w:color="auto" w:fill="auto"/>
            <w:noWrap/>
            <w:vAlign w:val="bottom"/>
            <w:hideMark/>
          </w:tcPr>
          <w:p w14:paraId="436D40B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757</w:t>
            </w:r>
          </w:p>
        </w:tc>
        <w:tc>
          <w:tcPr>
            <w:tcW w:w="680" w:type="dxa"/>
            <w:tcBorders>
              <w:top w:val="nil"/>
              <w:left w:val="nil"/>
              <w:bottom w:val="nil"/>
              <w:right w:val="nil"/>
            </w:tcBorders>
            <w:shd w:val="clear" w:color="auto" w:fill="auto"/>
            <w:noWrap/>
            <w:vAlign w:val="bottom"/>
            <w:hideMark/>
          </w:tcPr>
          <w:p w14:paraId="5158EDB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4,608</w:t>
            </w:r>
          </w:p>
        </w:tc>
        <w:tc>
          <w:tcPr>
            <w:tcW w:w="719" w:type="dxa"/>
            <w:tcBorders>
              <w:top w:val="nil"/>
              <w:left w:val="nil"/>
              <w:bottom w:val="nil"/>
              <w:right w:val="nil"/>
            </w:tcBorders>
            <w:shd w:val="clear" w:color="auto" w:fill="auto"/>
            <w:noWrap/>
            <w:vAlign w:val="bottom"/>
            <w:hideMark/>
          </w:tcPr>
          <w:p w14:paraId="5BA496F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1,621</w:t>
            </w:r>
          </w:p>
        </w:tc>
        <w:tc>
          <w:tcPr>
            <w:tcW w:w="680" w:type="dxa"/>
            <w:tcBorders>
              <w:top w:val="nil"/>
              <w:left w:val="nil"/>
              <w:bottom w:val="nil"/>
              <w:right w:val="nil"/>
            </w:tcBorders>
            <w:shd w:val="clear" w:color="auto" w:fill="auto"/>
            <w:noWrap/>
            <w:vAlign w:val="bottom"/>
            <w:hideMark/>
          </w:tcPr>
          <w:p w14:paraId="54415E5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5,310</w:t>
            </w:r>
          </w:p>
        </w:tc>
        <w:tc>
          <w:tcPr>
            <w:tcW w:w="719" w:type="dxa"/>
            <w:tcBorders>
              <w:top w:val="nil"/>
              <w:left w:val="nil"/>
              <w:bottom w:val="nil"/>
              <w:right w:val="nil"/>
            </w:tcBorders>
            <w:shd w:val="clear" w:color="auto" w:fill="auto"/>
            <w:noWrap/>
            <w:vAlign w:val="bottom"/>
            <w:hideMark/>
          </w:tcPr>
          <w:p w14:paraId="6ACE430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1,880</w:t>
            </w:r>
          </w:p>
        </w:tc>
        <w:tc>
          <w:tcPr>
            <w:tcW w:w="680" w:type="dxa"/>
            <w:tcBorders>
              <w:top w:val="nil"/>
              <w:left w:val="nil"/>
              <w:bottom w:val="nil"/>
              <w:right w:val="nil"/>
            </w:tcBorders>
            <w:shd w:val="clear" w:color="auto" w:fill="auto"/>
            <w:noWrap/>
            <w:vAlign w:val="bottom"/>
            <w:hideMark/>
          </w:tcPr>
          <w:p w14:paraId="05EDEED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5,102</w:t>
            </w:r>
          </w:p>
        </w:tc>
        <w:tc>
          <w:tcPr>
            <w:tcW w:w="719" w:type="dxa"/>
            <w:tcBorders>
              <w:top w:val="nil"/>
              <w:left w:val="nil"/>
              <w:bottom w:val="nil"/>
              <w:right w:val="nil"/>
            </w:tcBorders>
            <w:shd w:val="clear" w:color="auto" w:fill="auto"/>
            <w:noWrap/>
            <w:vAlign w:val="bottom"/>
            <w:hideMark/>
          </w:tcPr>
          <w:p w14:paraId="13F131E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1,433</w:t>
            </w:r>
          </w:p>
        </w:tc>
        <w:tc>
          <w:tcPr>
            <w:tcW w:w="680" w:type="dxa"/>
            <w:tcBorders>
              <w:top w:val="nil"/>
              <w:left w:val="nil"/>
              <w:bottom w:val="nil"/>
              <w:right w:val="nil"/>
            </w:tcBorders>
            <w:shd w:val="clear" w:color="000000" w:fill="FFFFFF"/>
            <w:noWrap/>
            <w:vAlign w:val="bottom"/>
            <w:hideMark/>
          </w:tcPr>
          <w:p w14:paraId="27137B47"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2,443</w:t>
            </w:r>
          </w:p>
        </w:tc>
        <w:tc>
          <w:tcPr>
            <w:tcW w:w="719" w:type="dxa"/>
            <w:tcBorders>
              <w:top w:val="nil"/>
              <w:left w:val="nil"/>
              <w:bottom w:val="nil"/>
              <w:right w:val="nil"/>
            </w:tcBorders>
            <w:shd w:val="clear" w:color="000000" w:fill="FFFFFF"/>
            <w:noWrap/>
            <w:vAlign w:val="bottom"/>
            <w:hideMark/>
          </w:tcPr>
          <w:p w14:paraId="316D13E8"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465</w:t>
            </w:r>
          </w:p>
        </w:tc>
      </w:tr>
      <w:tr w:rsidR="009A5001" w:rsidRPr="009A5001" w14:paraId="0753B59C" w14:textId="77777777" w:rsidTr="003C3BD1">
        <w:trPr>
          <w:trHeight w:val="348"/>
        </w:trPr>
        <w:tc>
          <w:tcPr>
            <w:tcW w:w="1020" w:type="dxa"/>
            <w:tcBorders>
              <w:top w:val="nil"/>
              <w:left w:val="nil"/>
              <w:bottom w:val="nil"/>
              <w:right w:val="nil"/>
            </w:tcBorders>
            <w:shd w:val="clear" w:color="auto" w:fill="auto"/>
            <w:noWrap/>
            <w:vAlign w:val="bottom"/>
            <w:hideMark/>
          </w:tcPr>
          <w:p w14:paraId="0E99B227"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w:t>
            </w:r>
          </w:p>
        </w:tc>
        <w:tc>
          <w:tcPr>
            <w:tcW w:w="680" w:type="dxa"/>
            <w:tcBorders>
              <w:top w:val="nil"/>
              <w:left w:val="nil"/>
              <w:bottom w:val="nil"/>
              <w:right w:val="nil"/>
            </w:tcBorders>
            <w:shd w:val="clear" w:color="auto" w:fill="auto"/>
            <w:noWrap/>
            <w:vAlign w:val="bottom"/>
            <w:hideMark/>
          </w:tcPr>
          <w:p w14:paraId="395447D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734</w:t>
            </w:r>
          </w:p>
        </w:tc>
        <w:tc>
          <w:tcPr>
            <w:tcW w:w="719" w:type="dxa"/>
            <w:tcBorders>
              <w:top w:val="nil"/>
              <w:left w:val="nil"/>
              <w:bottom w:val="nil"/>
              <w:right w:val="nil"/>
            </w:tcBorders>
            <w:shd w:val="clear" w:color="auto" w:fill="auto"/>
            <w:noWrap/>
            <w:vAlign w:val="bottom"/>
            <w:hideMark/>
          </w:tcPr>
          <w:p w14:paraId="71554D2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14</w:t>
            </w:r>
          </w:p>
        </w:tc>
        <w:tc>
          <w:tcPr>
            <w:tcW w:w="680" w:type="dxa"/>
            <w:tcBorders>
              <w:top w:val="nil"/>
              <w:left w:val="nil"/>
              <w:bottom w:val="nil"/>
              <w:right w:val="nil"/>
            </w:tcBorders>
            <w:shd w:val="clear" w:color="auto" w:fill="auto"/>
            <w:noWrap/>
            <w:vAlign w:val="bottom"/>
            <w:hideMark/>
          </w:tcPr>
          <w:p w14:paraId="707EFFD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384</w:t>
            </w:r>
          </w:p>
        </w:tc>
        <w:tc>
          <w:tcPr>
            <w:tcW w:w="719" w:type="dxa"/>
            <w:tcBorders>
              <w:top w:val="nil"/>
              <w:left w:val="nil"/>
              <w:bottom w:val="nil"/>
              <w:right w:val="nil"/>
            </w:tcBorders>
            <w:shd w:val="clear" w:color="auto" w:fill="auto"/>
            <w:noWrap/>
            <w:vAlign w:val="bottom"/>
            <w:hideMark/>
          </w:tcPr>
          <w:p w14:paraId="532A511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w:t>
            </w:r>
          </w:p>
        </w:tc>
        <w:tc>
          <w:tcPr>
            <w:tcW w:w="680" w:type="dxa"/>
            <w:tcBorders>
              <w:top w:val="nil"/>
              <w:left w:val="nil"/>
              <w:bottom w:val="nil"/>
              <w:right w:val="nil"/>
            </w:tcBorders>
            <w:shd w:val="clear" w:color="auto" w:fill="auto"/>
            <w:noWrap/>
            <w:vAlign w:val="bottom"/>
            <w:hideMark/>
          </w:tcPr>
          <w:p w14:paraId="1975EC2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1,046</w:t>
            </w:r>
          </w:p>
        </w:tc>
        <w:tc>
          <w:tcPr>
            <w:tcW w:w="719" w:type="dxa"/>
            <w:tcBorders>
              <w:top w:val="nil"/>
              <w:left w:val="nil"/>
              <w:bottom w:val="nil"/>
              <w:right w:val="nil"/>
            </w:tcBorders>
            <w:shd w:val="clear" w:color="auto" w:fill="auto"/>
            <w:noWrap/>
            <w:vAlign w:val="bottom"/>
            <w:hideMark/>
          </w:tcPr>
          <w:p w14:paraId="5BF12CE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45</w:t>
            </w:r>
          </w:p>
        </w:tc>
        <w:tc>
          <w:tcPr>
            <w:tcW w:w="680" w:type="dxa"/>
            <w:tcBorders>
              <w:top w:val="nil"/>
              <w:left w:val="nil"/>
              <w:bottom w:val="nil"/>
              <w:right w:val="nil"/>
            </w:tcBorders>
            <w:shd w:val="clear" w:color="auto" w:fill="auto"/>
            <w:noWrap/>
            <w:vAlign w:val="bottom"/>
            <w:hideMark/>
          </w:tcPr>
          <w:p w14:paraId="4E5424C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1,269</w:t>
            </w:r>
          </w:p>
        </w:tc>
        <w:tc>
          <w:tcPr>
            <w:tcW w:w="719" w:type="dxa"/>
            <w:tcBorders>
              <w:top w:val="nil"/>
              <w:left w:val="nil"/>
              <w:bottom w:val="nil"/>
              <w:right w:val="nil"/>
            </w:tcBorders>
            <w:shd w:val="clear" w:color="auto" w:fill="auto"/>
            <w:noWrap/>
            <w:vAlign w:val="bottom"/>
            <w:hideMark/>
          </w:tcPr>
          <w:p w14:paraId="0D13F37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193</w:t>
            </w:r>
          </w:p>
        </w:tc>
        <w:tc>
          <w:tcPr>
            <w:tcW w:w="680" w:type="dxa"/>
            <w:tcBorders>
              <w:top w:val="nil"/>
              <w:left w:val="nil"/>
              <w:bottom w:val="nil"/>
              <w:right w:val="nil"/>
            </w:tcBorders>
            <w:shd w:val="clear" w:color="auto" w:fill="auto"/>
            <w:noWrap/>
            <w:vAlign w:val="bottom"/>
            <w:hideMark/>
          </w:tcPr>
          <w:p w14:paraId="516FB16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1,922</w:t>
            </w:r>
          </w:p>
        </w:tc>
        <w:tc>
          <w:tcPr>
            <w:tcW w:w="719" w:type="dxa"/>
            <w:tcBorders>
              <w:top w:val="nil"/>
              <w:left w:val="nil"/>
              <w:bottom w:val="nil"/>
              <w:right w:val="nil"/>
            </w:tcBorders>
            <w:shd w:val="clear" w:color="auto" w:fill="auto"/>
            <w:noWrap/>
            <w:vAlign w:val="bottom"/>
            <w:hideMark/>
          </w:tcPr>
          <w:p w14:paraId="44F6D8A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448</w:t>
            </w:r>
          </w:p>
        </w:tc>
        <w:tc>
          <w:tcPr>
            <w:tcW w:w="680" w:type="dxa"/>
            <w:tcBorders>
              <w:top w:val="nil"/>
              <w:left w:val="nil"/>
              <w:bottom w:val="nil"/>
              <w:right w:val="nil"/>
            </w:tcBorders>
            <w:shd w:val="clear" w:color="auto" w:fill="auto"/>
            <w:noWrap/>
            <w:vAlign w:val="bottom"/>
            <w:hideMark/>
          </w:tcPr>
          <w:p w14:paraId="4CE3272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3,123</w:t>
            </w:r>
          </w:p>
        </w:tc>
        <w:tc>
          <w:tcPr>
            <w:tcW w:w="719" w:type="dxa"/>
            <w:tcBorders>
              <w:top w:val="nil"/>
              <w:left w:val="nil"/>
              <w:bottom w:val="nil"/>
              <w:right w:val="nil"/>
            </w:tcBorders>
            <w:shd w:val="clear" w:color="auto" w:fill="auto"/>
            <w:noWrap/>
            <w:vAlign w:val="bottom"/>
            <w:hideMark/>
          </w:tcPr>
          <w:p w14:paraId="4162203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951</w:t>
            </w:r>
          </w:p>
        </w:tc>
        <w:tc>
          <w:tcPr>
            <w:tcW w:w="680" w:type="dxa"/>
            <w:tcBorders>
              <w:top w:val="nil"/>
              <w:left w:val="nil"/>
              <w:bottom w:val="nil"/>
              <w:right w:val="nil"/>
            </w:tcBorders>
            <w:shd w:val="clear" w:color="auto" w:fill="auto"/>
            <w:noWrap/>
            <w:vAlign w:val="bottom"/>
            <w:hideMark/>
          </w:tcPr>
          <w:p w14:paraId="6C7AD36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4,729</w:t>
            </w:r>
          </w:p>
        </w:tc>
        <w:tc>
          <w:tcPr>
            <w:tcW w:w="719" w:type="dxa"/>
            <w:tcBorders>
              <w:top w:val="nil"/>
              <w:left w:val="nil"/>
              <w:bottom w:val="nil"/>
              <w:right w:val="nil"/>
            </w:tcBorders>
            <w:shd w:val="clear" w:color="auto" w:fill="auto"/>
            <w:noWrap/>
            <w:vAlign w:val="bottom"/>
            <w:hideMark/>
          </w:tcPr>
          <w:p w14:paraId="3F0C955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1,668</w:t>
            </w:r>
          </w:p>
        </w:tc>
        <w:tc>
          <w:tcPr>
            <w:tcW w:w="680" w:type="dxa"/>
            <w:tcBorders>
              <w:top w:val="nil"/>
              <w:left w:val="nil"/>
              <w:bottom w:val="nil"/>
              <w:right w:val="nil"/>
            </w:tcBorders>
            <w:shd w:val="clear" w:color="auto" w:fill="auto"/>
            <w:noWrap/>
            <w:vAlign w:val="bottom"/>
            <w:hideMark/>
          </w:tcPr>
          <w:p w14:paraId="60CB22A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5,288</w:t>
            </w:r>
          </w:p>
        </w:tc>
        <w:tc>
          <w:tcPr>
            <w:tcW w:w="719" w:type="dxa"/>
            <w:tcBorders>
              <w:top w:val="nil"/>
              <w:left w:val="nil"/>
              <w:bottom w:val="nil"/>
              <w:right w:val="nil"/>
            </w:tcBorders>
            <w:shd w:val="clear" w:color="auto" w:fill="auto"/>
            <w:noWrap/>
            <w:vAlign w:val="bottom"/>
            <w:hideMark/>
          </w:tcPr>
          <w:p w14:paraId="6BFDED0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1,979</w:t>
            </w:r>
          </w:p>
        </w:tc>
        <w:tc>
          <w:tcPr>
            <w:tcW w:w="680" w:type="dxa"/>
            <w:tcBorders>
              <w:top w:val="nil"/>
              <w:left w:val="nil"/>
              <w:bottom w:val="nil"/>
              <w:right w:val="nil"/>
            </w:tcBorders>
            <w:shd w:val="clear" w:color="auto" w:fill="auto"/>
            <w:noWrap/>
            <w:vAlign w:val="bottom"/>
            <w:hideMark/>
          </w:tcPr>
          <w:p w14:paraId="077C4AB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5,131</w:t>
            </w:r>
          </w:p>
        </w:tc>
        <w:tc>
          <w:tcPr>
            <w:tcW w:w="719" w:type="dxa"/>
            <w:tcBorders>
              <w:top w:val="nil"/>
              <w:left w:val="nil"/>
              <w:bottom w:val="nil"/>
              <w:right w:val="nil"/>
            </w:tcBorders>
            <w:shd w:val="clear" w:color="auto" w:fill="auto"/>
            <w:noWrap/>
            <w:vAlign w:val="bottom"/>
            <w:hideMark/>
          </w:tcPr>
          <w:p w14:paraId="464B287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1,566</w:t>
            </w:r>
          </w:p>
        </w:tc>
        <w:tc>
          <w:tcPr>
            <w:tcW w:w="680" w:type="dxa"/>
            <w:tcBorders>
              <w:top w:val="nil"/>
              <w:left w:val="nil"/>
              <w:bottom w:val="nil"/>
              <w:right w:val="nil"/>
            </w:tcBorders>
            <w:shd w:val="clear" w:color="000000" w:fill="FFFFFF"/>
            <w:noWrap/>
            <w:vAlign w:val="bottom"/>
            <w:hideMark/>
          </w:tcPr>
          <w:p w14:paraId="4C5C6334"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2,387</w:t>
            </w:r>
          </w:p>
        </w:tc>
        <w:tc>
          <w:tcPr>
            <w:tcW w:w="719" w:type="dxa"/>
            <w:tcBorders>
              <w:top w:val="nil"/>
              <w:left w:val="nil"/>
              <w:bottom w:val="nil"/>
              <w:right w:val="nil"/>
            </w:tcBorders>
            <w:shd w:val="clear" w:color="000000" w:fill="FFFFFF"/>
            <w:noWrap/>
            <w:vAlign w:val="bottom"/>
            <w:hideMark/>
          </w:tcPr>
          <w:p w14:paraId="0F56930B"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511</w:t>
            </w:r>
          </w:p>
        </w:tc>
      </w:tr>
      <w:tr w:rsidR="009A5001" w:rsidRPr="009A5001" w14:paraId="4F001ABC" w14:textId="77777777" w:rsidTr="003C3BD1">
        <w:trPr>
          <w:trHeight w:val="348"/>
        </w:trPr>
        <w:tc>
          <w:tcPr>
            <w:tcW w:w="1020" w:type="dxa"/>
            <w:tcBorders>
              <w:top w:val="nil"/>
              <w:left w:val="nil"/>
              <w:bottom w:val="nil"/>
              <w:right w:val="nil"/>
            </w:tcBorders>
            <w:shd w:val="clear" w:color="auto" w:fill="auto"/>
            <w:noWrap/>
            <w:vAlign w:val="bottom"/>
            <w:hideMark/>
          </w:tcPr>
          <w:p w14:paraId="316AE662"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w:t>
            </w:r>
          </w:p>
        </w:tc>
        <w:tc>
          <w:tcPr>
            <w:tcW w:w="680" w:type="dxa"/>
            <w:tcBorders>
              <w:top w:val="nil"/>
              <w:left w:val="nil"/>
              <w:bottom w:val="nil"/>
              <w:right w:val="nil"/>
            </w:tcBorders>
            <w:shd w:val="clear" w:color="auto" w:fill="auto"/>
            <w:noWrap/>
            <w:vAlign w:val="bottom"/>
            <w:hideMark/>
          </w:tcPr>
          <w:p w14:paraId="6D1506B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718</w:t>
            </w:r>
          </w:p>
        </w:tc>
        <w:tc>
          <w:tcPr>
            <w:tcW w:w="719" w:type="dxa"/>
            <w:tcBorders>
              <w:top w:val="nil"/>
              <w:left w:val="nil"/>
              <w:bottom w:val="nil"/>
              <w:right w:val="nil"/>
            </w:tcBorders>
            <w:shd w:val="clear" w:color="auto" w:fill="auto"/>
            <w:noWrap/>
            <w:vAlign w:val="bottom"/>
            <w:hideMark/>
          </w:tcPr>
          <w:p w14:paraId="5AB0189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20</w:t>
            </w:r>
          </w:p>
        </w:tc>
        <w:tc>
          <w:tcPr>
            <w:tcW w:w="680" w:type="dxa"/>
            <w:tcBorders>
              <w:top w:val="nil"/>
              <w:left w:val="nil"/>
              <w:bottom w:val="nil"/>
              <w:right w:val="nil"/>
            </w:tcBorders>
            <w:shd w:val="clear" w:color="auto" w:fill="auto"/>
            <w:noWrap/>
            <w:vAlign w:val="bottom"/>
            <w:hideMark/>
          </w:tcPr>
          <w:p w14:paraId="30AB240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334</w:t>
            </w:r>
          </w:p>
        </w:tc>
        <w:tc>
          <w:tcPr>
            <w:tcW w:w="719" w:type="dxa"/>
            <w:tcBorders>
              <w:top w:val="nil"/>
              <w:left w:val="nil"/>
              <w:bottom w:val="nil"/>
              <w:right w:val="nil"/>
            </w:tcBorders>
            <w:shd w:val="clear" w:color="auto" w:fill="auto"/>
            <w:noWrap/>
            <w:vAlign w:val="bottom"/>
            <w:hideMark/>
          </w:tcPr>
          <w:p w14:paraId="3092FB7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15</w:t>
            </w:r>
          </w:p>
        </w:tc>
        <w:tc>
          <w:tcPr>
            <w:tcW w:w="680" w:type="dxa"/>
            <w:tcBorders>
              <w:top w:val="nil"/>
              <w:left w:val="nil"/>
              <w:bottom w:val="nil"/>
              <w:right w:val="nil"/>
            </w:tcBorders>
            <w:shd w:val="clear" w:color="auto" w:fill="auto"/>
            <w:noWrap/>
            <w:vAlign w:val="bottom"/>
            <w:hideMark/>
          </w:tcPr>
          <w:p w14:paraId="11C5B78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957</w:t>
            </w:r>
          </w:p>
        </w:tc>
        <w:tc>
          <w:tcPr>
            <w:tcW w:w="719" w:type="dxa"/>
            <w:tcBorders>
              <w:top w:val="nil"/>
              <w:left w:val="nil"/>
              <w:bottom w:val="nil"/>
              <w:right w:val="nil"/>
            </w:tcBorders>
            <w:shd w:val="clear" w:color="auto" w:fill="auto"/>
            <w:noWrap/>
            <w:vAlign w:val="bottom"/>
            <w:hideMark/>
          </w:tcPr>
          <w:p w14:paraId="691FACA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58</w:t>
            </w:r>
          </w:p>
        </w:tc>
        <w:tc>
          <w:tcPr>
            <w:tcW w:w="680" w:type="dxa"/>
            <w:tcBorders>
              <w:top w:val="nil"/>
              <w:left w:val="nil"/>
              <w:bottom w:val="nil"/>
              <w:right w:val="nil"/>
            </w:tcBorders>
            <w:shd w:val="clear" w:color="auto" w:fill="auto"/>
            <w:noWrap/>
            <w:vAlign w:val="bottom"/>
            <w:hideMark/>
          </w:tcPr>
          <w:p w14:paraId="7F30973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1,192</w:t>
            </w:r>
          </w:p>
        </w:tc>
        <w:tc>
          <w:tcPr>
            <w:tcW w:w="719" w:type="dxa"/>
            <w:tcBorders>
              <w:top w:val="nil"/>
              <w:left w:val="nil"/>
              <w:bottom w:val="nil"/>
              <w:right w:val="nil"/>
            </w:tcBorders>
            <w:shd w:val="clear" w:color="auto" w:fill="auto"/>
            <w:noWrap/>
            <w:vAlign w:val="bottom"/>
            <w:hideMark/>
          </w:tcPr>
          <w:p w14:paraId="062599B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242</w:t>
            </w:r>
          </w:p>
        </w:tc>
        <w:tc>
          <w:tcPr>
            <w:tcW w:w="680" w:type="dxa"/>
            <w:tcBorders>
              <w:top w:val="nil"/>
              <w:left w:val="nil"/>
              <w:bottom w:val="nil"/>
              <w:right w:val="nil"/>
            </w:tcBorders>
            <w:shd w:val="clear" w:color="auto" w:fill="auto"/>
            <w:noWrap/>
            <w:vAlign w:val="bottom"/>
            <w:hideMark/>
          </w:tcPr>
          <w:p w14:paraId="6B876DE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1,814</w:t>
            </w:r>
          </w:p>
        </w:tc>
        <w:tc>
          <w:tcPr>
            <w:tcW w:w="719" w:type="dxa"/>
            <w:tcBorders>
              <w:top w:val="nil"/>
              <w:left w:val="nil"/>
              <w:bottom w:val="nil"/>
              <w:right w:val="nil"/>
            </w:tcBorders>
            <w:shd w:val="clear" w:color="auto" w:fill="auto"/>
            <w:noWrap/>
            <w:vAlign w:val="bottom"/>
            <w:hideMark/>
          </w:tcPr>
          <w:p w14:paraId="458F2D8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450</w:t>
            </w:r>
          </w:p>
        </w:tc>
        <w:tc>
          <w:tcPr>
            <w:tcW w:w="680" w:type="dxa"/>
            <w:tcBorders>
              <w:top w:val="nil"/>
              <w:left w:val="nil"/>
              <w:bottom w:val="nil"/>
              <w:right w:val="nil"/>
            </w:tcBorders>
            <w:shd w:val="clear" w:color="auto" w:fill="auto"/>
            <w:noWrap/>
            <w:vAlign w:val="bottom"/>
            <w:hideMark/>
          </w:tcPr>
          <w:p w14:paraId="20D15C8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3,080</w:t>
            </w:r>
          </w:p>
        </w:tc>
        <w:tc>
          <w:tcPr>
            <w:tcW w:w="719" w:type="dxa"/>
            <w:tcBorders>
              <w:top w:val="nil"/>
              <w:left w:val="nil"/>
              <w:bottom w:val="nil"/>
              <w:right w:val="nil"/>
            </w:tcBorders>
            <w:shd w:val="clear" w:color="auto" w:fill="auto"/>
            <w:noWrap/>
            <w:vAlign w:val="bottom"/>
            <w:hideMark/>
          </w:tcPr>
          <w:p w14:paraId="1AD8208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946</w:t>
            </w:r>
          </w:p>
        </w:tc>
        <w:tc>
          <w:tcPr>
            <w:tcW w:w="680" w:type="dxa"/>
            <w:tcBorders>
              <w:top w:val="nil"/>
              <w:left w:val="nil"/>
              <w:bottom w:val="nil"/>
              <w:right w:val="nil"/>
            </w:tcBorders>
            <w:shd w:val="clear" w:color="auto" w:fill="auto"/>
            <w:noWrap/>
            <w:vAlign w:val="bottom"/>
            <w:hideMark/>
          </w:tcPr>
          <w:p w14:paraId="7065BC2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4,612</w:t>
            </w:r>
          </w:p>
        </w:tc>
        <w:tc>
          <w:tcPr>
            <w:tcW w:w="719" w:type="dxa"/>
            <w:tcBorders>
              <w:top w:val="nil"/>
              <w:left w:val="nil"/>
              <w:bottom w:val="nil"/>
              <w:right w:val="nil"/>
            </w:tcBorders>
            <w:shd w:val="clear" w:color="auto" w:fill="auto"/>
            <w:noWrap/>
            <w:vAlign w:val="bottom"/>
            <w:hideMark/>
          </w:tcPr>
          <w:p w14:paraId="09F10D5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1,754</w:t>
            </w:r>
          </w:p>
        </w:tc>
        <w:tc>
          <w:tcPr>
            <w:tcW w:w="680" w:type="dxa"/>
            <w:tcBorders>
              <w:top w:val="nil"/>
              <w:left w:val="nil"/>
              <w:bottom w:val="nil"/>
              <w:right w:val="nil"/>
            </w:tcBorders>
            <w:shd w:val="clear" w:color="auto" w:fill="auto"/>
            <w:noWrap/>
            <w:vAlign w:val="bottom"/>
            <w:hideMark/>
          </w:tcPr>
          <w:p w14:paraId="7F98F01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5,220</w:t>
            </w:r>
          </w:p>
        </w:tc>
        <w:tc>
          <w:tcPr>
            <w:tcW w:w="719" w:type="dxa"/>
            <w:tcBorders>
              <w:top w:val="nil"/>
              <w:left w:val="nil"/>
              <w:bottom w:val="nil"/>
              <w:right w:val="nil"/>
            </w:tcBorders>
            <w:shd w:val="clear" w:color="auto" w:fill="auto"/>
            <w:noWrap/>
            <w:vAlign w:val="bottom"/>
            <w:hideMark/>
          </w:tcPr>
          <w:p w14:paraId="29403C8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2,168</w:t>
            </w:r>
          </w:p>
        </w:tc>
        <w:tc>
          <w:tcPr>
            <w:tcW w:w="680" w:type="dxa"/>
            <w:tcBorders>
              <w:top w:val="nil"/>
              <w:left w:val="nil"/>
              <w:bottom w:val="nil"/>
              <w:right w:val="nil"/>
            </w:tcBorders>
            <w:shd w:val="clear" w:color="auto" w:fill="auto"/>
            <w:noWrap/>
            <w:vAlign w:val="bottom"/>
            <w:hideMark/>
          </w:tcPr>
          <w:p w14:paraId="205F300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4,971</w:t>
            </w:r>
          </w:p>
        </w:tc>
        <w:tc>
          <w:tcPr>
            <w:tcW w:w="719" w:type="dxa"/>
            <w:tcBorders>
              <w:top w:val="nil"/>
              <w:left w:val="nil"/>
              <w:bottom w:val="nil"/>
              <w:right w:val="nil"/>
            </w:tcBorders>
            <w:shd w:val="clear" w:color="auto" w:fill="auto"/>
            <w:noWrap/>
            <w:vAlign w:val="bottom"/>
            <w:hideMark/>
          </w:tcPr>
          <w:p w14:paraId="7EC1873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1,612</w:t>
            </w:r>
          </w:p>
        </w:tc>
        <w:tc>
          <w:tcPr>
            <w:tcW w:w="680" w:type="dxa"/>
            <w:tcBorders>
              <w:top w:val="nil"/>
              <w:left w:val="nil"/>
              <w:bottom w:val="nil"/>
              <w:right w:val="nil"/>
            </w:tcBorders>
            <w:shd w:val="clear" w:color="000000" w:fill="FFFFFF"/>
            <w:noWrap/>
            <w:vAlign w:val="bottom"/>
            <w:hideMark/>
          </w:tcPr>
          <w:p w14:paraId="616CC4DC"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2,332</w:t>
            </w:r>
          </w:p>
        </w:tc>
        <w:tc>
          <w:tcPr>
            <w:tcW w:w="719" w:type="dxa"/>
            <w:tcBorders>
              <w:top w:val="nil"/>
              <w:left w:val="nil"/>
              <w:bottom w:val="nil"/>
              <w:right w:val="nil"/>
            </w:tcBorders>
            <w:shd w:val="clear" w:color="000000" w:fill="FFFFFF"/>
            <w:noWrap/>
            <w:vAlign w:val="bottom"/>
            <w:hideMark/>
          </w:tcPr>
          <w:p w14:paraId="24C90636"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527</w:t>
            </w:r>
          </w:p>
        </w:tc>
      </w:tr>
      <w:tr w:rsidR="009A5001" w:rsidRPr="009A5001" w14:paraId="4FD4B35C" w14:textId="77777777" w:rsidTr="003C3BD1">
        <w:trPr>
          <w:trHeight w:val="348"/>
        </w:trPr>
        <w:tc>
          <w:tcPr>
            <w:tcW w:w="1020" w:type="dxa"/>
            <w:tcBorders>
              <w:top w:val="nil"/>
              <w:left w:val="nil"/>
              <w:bottom w:val="nil"/>
              <w:right w:val="nil"/>
            </w:tcBorders>
            <w:shd w:val="clear" w:color="auto" w:fill="auto"/>
            <w:noWrap/>
            <w:vAlign w:val="bottom"/>
            <w:hideMark/>
          </w:tcPr>
          <w:p w14:paraId="520E8553"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w:t>
            </w:r>
          </w:p>
        </w:tc>
        <w:tc>
          <w:tcPr>
            <w:tcW w:w="680" w:type="dxa"/>
            <w:tcBorders>
              <w:top w:val="nil"/>
              <w:left w:val="nil"/>
              <w:bottom w:val="nil"/>
              <w:right w:val="nil"/>
            </w:tcBorders>
            <w:shd w:val="clear" w:color="auto" w:fill="auto"/>
            <w:noWrap/>
            <w:vAlign w:val="bottom"/>
            <w:hideMark/>
          </w:tcPr>
          <w:p w14:paraId="121D91A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706</w:t>
            </w:r>
          </w:p>
        </w:tc>
        <w:tc>
          <w:tcPr>
            <w:tcW w:w="719" w:type="dxa"/>
            <w:tcBorders>
              <w:top w:val="nil"/>
              <w:left w:val="nil"/>
              <w:bottom w:val="nil"/>
              <w:right w:val="nil"/>
            </w:tcBorders>
            <w:shd w:val="clear" w:color="auto" w:fill="auto"/>
            <w:noWrap/>
            <w:vAlign w:val="bottom"/>
            <w:hideMark/>
          </w:tcPr>
          <w:p w14:paraId="1368841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w:t>
            </w:r>
          </w:p>
        </w:tc>
        <w:tc>
          <w:tcPr>
            <w:tcW w:w="680" w:type="dxa"/>
            <w:tcBorders>
              <w:top w:val="nil"/>
              <w:left w:val="nil"/>
              <w:bottom w:val="nil"/>
              <w:right w:val="nil"/>
            </w:tcBorders>
            <w:shd w:val="clear" w:color="auto" w:fill="auto"/>
            <w:noWrap/>
            <w:vAlign w:val="bottom"/>
            <w:hideMark/>
          </w:tcPr>
          <w:p w14:paraId="2BA10FF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383</w:t>
            </w:r>
          </w:p>
        </w:tc>
        <w:tc>
          <w:tcPr>
            <w:tcW w:w="719" w:type="dxa"/>
            <w:tcBorders>
              <w:top w:val="nil"/>
              <w:left w:val="nil"/>
              <w:bottom w:val="nil"/>
              <w:right w:val="nil"/>
            </w:tcBorders>
            <w:shd w:val="clear" w:color="auto" w:fill="auto"/>
            <w:noWrap/>
            <w:vAlign w:val="bottom"/>
            <w:hideMark/>
          </w:tcPr>
          <w:p w14:paraId="5CEE893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14</w:t>
            </w:r>
          </w:p>
        </w:tc>
        <w:tc>
          <w:tcPr>
            <w:tcW w:w="680" w:type="dxa"/>
            <w:tcBorders>
              <w:top w:val="nil"/>
              <w:left w:val="nil"/>
              <w:bottom w:val="nil"/>
              <w:right w:val="nil"/>
            </w:tcBorders>
            <w:shd w:val="clear" w:color="auto" w:fill="auto"/>
            <w:noWrap/>
            <w:vAlign w:val="bottom"/>
            <w:hideMark/>
          </w:tcPr>
          <w:p w14:paraId="4612E0F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964</w:t>
            </w:r>
          </w:p>
        </w:tc>
        <w:tc>
          <w:tcPr>
            <w:tcW w:w="719" w:type="dxa"/>
            <w:tcBorders>
              <w:top w:val="nil"/>
              <w:left w:val="nil"/>
              <w:bottom w:val="nil"/>
              <w:right w:val="nil"/>
            </w:tcBorders>
            <w:shd w:val="clear" w:color="auto" w:fill="auto"/>
            <w:noWrap/>
            <w:vAlign w:val="bottom"/>
            <w:hideMark/>
          </w:tcPr>
          <w:p w14:paraId="5D4C4ED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64</w:t>
            </w:r>
          </w:p>
        </w:tc>
        <w:tc>
          <w:tcPr>
            <w:tcW w:w="680" w:type="dxa"/>
            <w:tcBorders>
              <w:top w:val="nil"/>
              <w:left w:val="nil"/>
              <w:bottom w:val="nil"/>
              <w:right w:val="nil"/>
            </w:tcBorders>
            <w:shd w:val="clear" w:color="auto" w:fill="auto"/>
            <w:noWrap/>
            <w:vAlign w:val="bottom"/>
            <w:hideMark/>
          </w:tcPr>
          <w:p w14:paraId="5379B7B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1,208</w:t>
            </w:r>
          </w:p>
        </w:tc>
        <w:tc>
          <w:tcPr>
            <w:tcW w:w="719" w:type="dxa"/>
            <w:tcBorders>
              <w:top w:val="nil"/>
              <w:left w:val="nil"/>
              <w:bottom w:val="nil"/>
              <w:right w:val="nil"/>
            </w:tcBorders>
            <w:shd w:val="clear" w:color="auto" w:fill="auto"/>
            <w:noWrap/>
            <w:vAlign w:val="bottom"/>
            <w:hideMark/>
          </w:tcPr>
          <w:p w14:paraId="7F8AD6D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229</w:t>
            </w:r>
          </w:p>
        </w:tc>
        <w:tc>
          <w:tcPr>
            <w:tcW w:w="680" w:type="dxa"/>
            <w:tcBorders>
              <w:top w:val="nil"/>
              <w:left w:val="nil"/>
              <w:bottom w:val="nil"/>
              <w:right w:val="nil"/>
            </w:tcBorders>
            <w:shd w:val="clear" w:color="auto" w:fill="auto"/>
            <w:noWrap/>
            <w:vAlign w:val="bottom"/>
            <w:hideMark/>
          </w:tcPr>
          <w:p w14:paraId="0C61597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1,809</w:t>
            </w:r>
          </w:p>
        </w:tc>
        <w:tc>
          <w:tcPr>
            <w:tcW w:w="719" w:type="dxa"/>
            <w:tcBorders>
              <w:top w:val="nil"/>
              <w:left w:val="nil"/>
              <w:bottom w:val="nil"/>
              <w:right w:val="nil"/>
            </w:tcBorders>
            <w:shd w:val="clear" w:color="auto" w:fill="auto"/>
            <w:noWrap/>
            <w:vAlign w:val="bottom"/>
            <w:hideMark/>
          </w:tcPr>
          <w:p w14:paraId="0DB0FB6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471</w:t>
            </w:r>
          </w:p>
        </w:tc>
        <w:tc>
          <w:tcPr>
            <w:tcW w:w="680" w:type="dxa"/>
            <w:tcBorders>
              <w:top w:val="nil"/>
              <w:left w:val="nil"/>
              <w:bottom w:val="nil"/>
              <w:right w:val="nil"/>
            </w:tcBorders>
            <w:shd w:val="clear" w:color="auto" w:fill="auto"/>
            <w:noWrap/>
            <w:vAlign w:val="bottom"/>
            <w:hideMark/>
          </w:tcPr>
          <w:p w14:paraId="59AA40F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3,051</w:t>
            </w:r>
          </w:p>
        </w:tc>
        <w:tc>
          <w:tcPr>
            <w:tcW w:w="719" w:type="dxa"/>
            <w:tcBorders>
              <w:top w:val="nil"/>
              <w:left w:val="nil"/>
              <w:bottom w:val="nil"/>
              <w:right w:val="nil"/>
            </w:tcBorders>
            <w:shd w:val="clear" w:color="auto" w:fill="auto"/>
            <w:noWrap/>
            <w:vAlign w:val="bottom"/>
            <w:hideMark/>
          </w:tcPr>
          <w:p w14:paraId="738C132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959</w:t>
            </w:r>
          </w:p>
        </w:tc>
        <w:tc>
          <w:tcPr>
            <w:tcW w:w="680" w:type="dxa"/>
            <w:tcBorders>
              <w:top w:val="nil"/>
              <w:left w:val="nil"/>
              <w:bottom w:val="nil"/>
              <w:right w:val="nil"/>
            </w:tcBorders>
            <w:shd w:val="clear" w:color="auto" w:fill="auto"/>
            <w:noWrap/>
            <w:vAlign w:val="bottom"/>
            <w:hideMark/>
          </w:tcPr>
          <w:p w14:paraId="5FC8D3C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4,544</w:t>
            </w:r>
          </w:p>
        </w:tc>
        <w:tc>
          <w:tcPr>
            <w:tcW w:w="719" w:type="dxa"/>
            <w:tcBorders>
              <w:top w:val="nil"/>
              <w:left w:val="nil"/>
              <w:bottom w:val="nil"/>
              <w:right w:val="nil"/>
            </w:tcBorders>
            <w:shd w:val="clear" w:color="auto" w:fill="auto"/>
            <w:noWrap/>
            <w:vAlign w:val="bottom"/>
            <w:hideMark/>
          </w:tcPr>
          <w:p w14:paraId="3671741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1,714</w:t>
            </w:r>
          </w:p>
        </w:tc>
        <w:tc>
          <w:tcPr>
            <w:tcW w:w="680" w:type="dxa"/>
            <w:tcBorders>
              <w:top w:val="nil"/>
              <w:left w:val="nil"/>
              <w:bottom w:val="nil"/>
              <w:right w:val="nil"/>
            </w:tcBorders>
            <w:shd w:val="clear" w:color="auto" w:fill="auto"/>
            <w:noWrap/>
            <w:vAlign w:val="bottom"/>
            <w:hideMark/>
          </w:tcPr>
          <w:p w14:paraId="397FD81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5,440</w:t>
            </w:r>
          </w:p>
        </w:tc>
        <w:tc>
          <w:tcPr>
            <w:tcW w:w="719" w:type="dxa"/>
            <w:tcBorders>
              <w:top w:val="nil"/>
              <w:left w:val="nil"/>
              <w:bottom w:val="nil"/>
              <w:right w:val="nil"/>
            </w:tcBorders>
            <w:shd w:val="clear" w:color="auto" w:fill="auto"/>
            <w:noWrap/>
            <w:vAlign w:val="bottom"/>
            <w:hideMark/>
          </w:tcPr>
          <w:p w14:paraId="7892EC7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2,082</w:t>
            </w:r>
          </w:p>
        </w:tc>
        <w:tc>
          <w:tcPr>
            <w:tcW w:w="680" w:type="dxa"/>
            <w:tcBorders>
              <w:top w:val="nil"/>
              <w:left w:val="nil"/>
              <w:bottom w:val="nil"/>
              <w:right w:val="nil"/>
            </w:tcBorders>
            <w:shd w:val="clear" w:color="auto" w:fill="auto"/>
            <w:noWrap/>
            <w:vAlign w:val="bottom"/>
            <w:hideMark/>
          </w:tcPr>
          <w:p w14:paraId="3786447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5,031</w:t>
            </w:r>
          </w:p>
        </w:tc>
        <w:tc>
          <w:tcPr>
            <w:tcW w:w="719" w:type="dxa"/>
            <w:tcBorders>
              <w:top w:val="nil"/>
              <w:left w:val="nil"/>
              <w:bottom w:val="nil"/>
              <w:right w:val="nil"/>
            </w:tcBorders>
            <w:shd w:val="clear" w:color="auto" w:fill="auto"/>
            <w:noWrap/>
            <w:vAlign w:val="bottom"/>
            <w:hideMark/>
          </w:tcPr>
          <w:p w14:paraId="34FE05D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1,626</w:t>
            </w:r>
          </w:p>
        </w:tc>
        <w:tc>
          <w:tcPr>
            <w:tcW w:w="680" w:type="dxa"/>
            <w:tcBorders>
              <w:top w:val="nil"/>
              <w:left w:val="nil"/>
              <w:bottom w:val="nil"/>
              <w:right w:val="nil"/>
            </w:tcBorders>
            <w:shd w:val="clear" w:color="000000" w:fill="FFFFFF"/>
            <w:noWrap/>
            <w:vAlign w:val="bottom"/>
            <w:hideMark/>
          </w:tcPr>
          <w:p w14:paraId="1031E252"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2,447</w:t>
            </w:r>
          </w:p>
        </w:tc>
        <w:tc>
          <w:tcPr>
            <w:tcW w:w="719" w:type="dxa"/>
            <w:tcBorders>
              <w:top w:val="nil"/>
              <w:left w:val="nil"/>
              <w:bottom w:val="nil"/>
              <w:right w:val="nil"/>
            </w:tcBorders>
            <w:shd w:val="clear" w:color="000000" w:fill="FFFFFF"/>
            <w:noWrap/>
            <w:vAlign w:val="bottom"/>
            <w:hideMark/>
          </w:tcPr>
          <w:p w14:paraId="64C40A86"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521</w:t>
            </w:r>
          </w:p>
        </w:tc>
      </w:tr>
      <w:tr w:rsidR="009A5001" w:rsidRPr="009A5001" w14:paraId="1D6E22DC" w14:textId="77777777" w:rsidTr="003C3BD1">
        <w:trPr>
          <w:trHeight w:val="348"/>
        </w:trPr>
        <w:tc>
          <w:tcPr>
            <w:tcW w:w="1020" w:type="dxa"/>
            <w:tcBorders>
              <w:top w:val="nil"/>
              <w:left w:val="nil"/>
              <w:bottom w:val="nil"/>
              <w:right w:val="nil"/>
            </w:tcBorders>
            <w:shd w:val="clear" w:color="auto" w:fill="auto"/>
            <w:noWrap/>
            <w:vAlign w:val="bottom"/>
            <w:hideMark/>
          </w:tcPr>
          <w:p w14:paraId="2DF1B3DA"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w:t>
            </w:r>
          </w:p>
        </w:tc>
        <w:tc>
          <w:tcPr>
            <w:tcW w:w="680" w:type="dxa"/>
            <w:tcBorders>
              <w:top w:val="nil"/>
              <w:left w:val="nil"/>
              <w:bottom w:val="nil"/>
              <w:right w:val="nil"/>
            </w:tcBorders>
            <w:shd w:val="clear" w:color="auto" w:fill="auto"/>
            <w:noWrap/>
            <w:vAlign w:val="bottom"/>
            <w:hideMark/>
          </w:tcPr>
          <w:p w14:paraId="2C8D8D7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713</w:t>
            </w:r>
          </w:p>
        </w:tc>
        <w:tc>
          <w:tcPr>
            <w:tcW w:w="719" w:type="dxa"/>
            <w:tcBorders>
              <w:top w:val="nil"/>
              <w:left w:val="nil"/>
              <w:bottom w:val="nil"/>
              <w:right w:val="nil"/>
            </w:tcBorders>
            <w:shd w:val="clear" w:color="auto" w:fill="auto"/>
            <w:noWrap/>
            <w:vAlign w:val="bottom"/>
            <w:hideMark/>
          </w:tcPr>
          <w:p w14:paraId="4D78A47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w:t>
            </w:r>
          </w:p>
        </w:tc>
        <w:tc>
          <w:tcPr>
            <w:tcW w:w="680" w:type="dxa"/>
            <w:tcBorders>
              <w:top w:val="nil"/>
              <w:left w:val="nil"/>
              <w:bottom w:val="nil"/>
              <w:right w:val="nil"/>
            </w:tcBorders>
            <w:shd w:val="clear" w:color="auto" w:fill="auto"/>
            <w:noWrap/>
            <w:vAlign w:val="bottom"/>
            <w:hideMark/>
          </w:tcPr>
          <w:p w14:paraId="284B00D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347</w:t>
            </w:r>
          </w:p>
        </w:tc>
        <w:tc>
          <w:tcPr>
            <w:tcW w:w="719" w:type="dxa"/>
            <w:tcBorders>
              <w:top w:val="nil"/>
              <w:left w:val="nil"/>
              <w:bottom w:val="nil"/>
              <w:right w:val="nil"/>
            </w:tcBorders>
            <w:shd w:val="clear" w:color="auto" w:fill="auto"/>
            <w:noWrap/>
            <w:vAlign w:val="bottom"/>
            <w:hideMark/>
          </w:tcPr>
          <w:p w14:paraId="606CF3A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10</w:t>
            </w:r>
          </w:p>
        </w:tc>
        <w:tc>
          <w:tcPr>
            <w:tcW w:w="680" w:type="dxa"/>
            <w:tcBorders>
              <w:top w:val="nil"/>
              <w:left w:val="nil"/>
              <w:bottom w:val="nil"/>
              <w:right w:val="nil"/>
            </w:tcBorders>
            <w:shd w:val="clear" w:color="auto" w:fill="auto"/>
            <w:noWrap/>
            <w:vAlign w:val="bottom"/>
            <w:hideMark/>
          </w:tcPr>
          <w:p w14:paraId="4ECB3D0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1,019</w:t>
            </w:r>
          </w:p>
        </w:tc>
        <w:tc>
          <w:tcPr>
            <w:tcW w:w="719" w:type="dxa"/>
            <w:tcBorders>
              <w:top w:val="nil"/>
              <w:left w:val="nil"/>
              <w:bottom w:val="nil"/>
              <w:right w:val="nil"/>
            </w:tcBorders>
            <w:shd w:val="clear" w:color="auto" w:fill="auto"/>
            <w:noWrap/>
            <w:vAlign w:val="bottom"/>
            <w:hideMark/>
          </w:tcPr>
          <w:p w14:paraId="65F22C8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64</w:t>
            </w:r>
          </w:p>
        </w:tc>
        <w:tc>
          <w:tcPr>
            <w:tcW w:w="680" w:type="dxa"/>
            <w:tcBorders>
              <w:top w:val="nil"/>
              <w:left w:val="nil"/>
              <w:bottom w:val="nil"/>
              <w:right w:val="nil"/>
            </w:tcBorders>
            <w:shd w:val="clear" w:color="auto" w:fill="auto"/>
            <w:noWrap/>
            <w:vAlign w:val="bottom"/>
            <w:hideMark/>
          </w:tcPr>
          <w:p w14:paraId="16A4481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1,222</w:t>
            </w:r>
          </w:p>
        </w:tc>
        <w:tc>
          <w:tcPr>
            <w:tcW w:w="719" w:type="dxa"/>
            <w:tcBorders>
              <w:top w:val="nil"/>
              <w:left w:val="nil"/>
              <w:bottom w:val="nil"/>
              <w:right w:val="nil"/>
            </w:tcBorders>
            <w:shd w:val="clear" w:color="auto" w:fill="auto"/>
            <w:noWrap/>
            <w:vAlign w:val="bottom"/>
            <w:hideMark/>
          </w:tcPr>
          <w:p w14:paraId="376D46A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190</w:t>
            </w:r>
          </w:p>
        </w:tc>
        <w:tc>
          <w:tcPr>
            <w:tcW w:w="680" w:type="dxa"/>
            <w:tcBorders>
              <w:top w:val="nil"/>
              <w:left w:val="nil"/>
              <w:bottom w:val="nil"/>
              <w:right w:val="nil"/>
            </w:tcBorders>
            <w:shd w:val="clear" w:color="auto" w:fill="auto"/>
            <w:noWrap/>
            <w:vAlign w:val="bottom"/>
            <w:hideMark/>
          </w:tcPr>
          <w:p w14:paraId="763D7C3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1,827</w:t>
            </w:r>
          </w:p>
        </w:tc>
        <w:tc>
          <w:tcPr>
            <w:tcW w:w="719" w:type="dxa"/>
            <w:tcBorders>
              <w:top w:val="nil"/>
              <w:left w:val="nil"/>
              <w:bottom w:val="nil"/>
              <w:right w:val="nil"/>
            </w:tcBorders>
            <w:shd w:val="clear" w:color="auto" w:fill="auto"/>
            <w:noWrap/>
            <w:vAlign w:val="bottom"/>
            <w:hideMark/>
          </w:tcPr>
          <w:p w14:paraId="2FD43A1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482</w:t>
            </w:r>
          </w:p>
        </w:tc>
        <w:tc>
          <w:tcPr>
            <w:tcW w:w="680" w:type="dxa"/>
            <w:tcBorders>
              <w:top w:val="nil"/>
              <w:left w:val="nil"/>
              <w:bottom w:val="nil"/>
              <w:right w:val="nil"/>
            </w:tcBorders>
            <w:shd w:val="clear" w:color="auto" w:fill="auto"/>
            <w:noWrap/>
            <w:vAlign w:val="bottom"/>
            <w:hideMark/>
          </w:tcPr>
          <w:p w14:paraId="7BC5E0B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3,048</w:t>
            </w:r>
          </w:p>
        </w:tc>
        <w:tc>
          <w:tcPr>
            <w:tcW w:w="719" w:type="dxa"/>
            <w:tcBorders>
              <w:top w:val="nil"/>
              <w:left w:val="nil"/>
              <w:bottom w:val="nil"/>
              <w:right w:val="nil"/>
            </w:tcBorders>
            <w:shd w:val="clear" w:color="auto" w:fill="auto"/>
            <w:noWrap/>
            <w:vAlign w:val="bottom"/>
            <w:hideMark/>
          </w:tcPr>
          <w:p w14:paraId="714AD48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953</w:t>
            </w:r>
          </w:p>
        </w:tc>
        <w:tc>
          <w:tcPr>
            <w:tcW w:w="680" w:type="dxa"/>
            <w:tcBorders>
              <w:top w:val="nil"/>
              <w:left w:val="nil"/>
              <w:bottom w:val="nil"/>
              <w:right w:val="nil"/>
            </w:tcBorders>
            <w:shd w:val="clear" w:color="auto" w:fill="auto"/>
            <w:noWrap/>
            <w:vAlign w:val="bottom"/>
            <w:hideMark/>
          </w:tcPr>
          <w:p w14:paraId="5EC8F9A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4,715</w:t>
            </w:r>
          </w:p>
        </w:tc>
        <w:tc>
          <w:tcPr>
            <w:tcW w:w="719" w:type="dxa"/>
            <w:tcBorders>
              <w:top w:val="nil"/>
              <w:left w:val="nil"/>
              <w:bottom w:val="nil"/>
              <w:right w:val="nil"/>
            </w:tcBorders>
            <w:shd w:val="clear" w:color="auto" w:fill="auto"/>
            <w:noWrap/>
            <w:vAlign w:val="bottom"/>
            <w:hideMark/>
          </w:tcPr>
          <w:p w14:paraId="5F1EE3D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1,730</w:t>
            </w:r>
          </w:p>
        </w:tc>
        <w:tc>
          <w:tcPr>
            <w:tcW w:w="680" w:type="dxa"/>
            <w:tcBorders>
              <w:top w:val="nil"/>
              <w:left w:val="nil"/>
              <w:bottom w:val="nil"/>
              <w:right w:val="nil"/>
            </w:tcBorders>
            <w:shd w:val="clear" w:color="auto" w:fill="auto"/>
            <w:noWrap/>
            <w:vAlign w:val="bottom"/>
            <w:hideMark/>
          </w:tcPr>
          <w:p w14:paraId="3F18B82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5,409</w:t>
            </w:r>
          </w:p>
        </w:tc>
        <w:tc>
          <w:tcPr>
            <w:tcW w:w="719" w:type="dxa"/>
            <w:tcBorders>
              <w:top w:val="nil"/>
              <w:left w:val="nil"/>
              <w:bottom w:val="nil"/>
              <w:right w:val="nil"/>
            </w:tcBorders>
            <w:shd w:val="clear" w:color="auto" w:fill="auto"/>
            <w:noWrap/>
            <w:vAlign w:val="bottom"/>
            <w:hideMark/>
          </w:tcPr>
          <w:p w14:paraId="325E923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1,876</w:t>
            </w:r>
          </w:p>
        </w:tc>
        <w:tc>
          <w:tcPr>
            <w:tcW w:w="680" w:type="dxa"/>
            <w:tcBorders>
              <w:top w:val="nil"/>
              <w:left w:val="nil"/>
              <w:bottom w:val="nil"/>
              <w:right w:val="nil"/>
            </w:tcBorders>
            <w:shd w:val="clear" w:color="auto" w:fill="auto"/>
            <w:noWrap/>
            <w:vAlign w:val="bottom"/>
            <w:hideMark/>
          </w:tcPr>
          <w:p w14:paraId="711BB86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5,215</w:t>
            </w:r>
          </w:p>
        </w:tc>
        <w:tc>
          <w:tcPr>
            <w:tcW w:w="719" w:type="dxa"/>
            <w:tcBorders>
              <w:top w:val="nil"/>
              <w:left w:val="nil"/>
              <w:bottom w:val="nil"/>
              <w:right w:val="nil"/>
            </w:tcBorders>
            <w:shd w:val="clear" w:color="auto" w:fill="auto"/>
            <w:noWrap/>
            <w:vAlign w:val="bottom"/>
            <w:hideMark/>
          </w:tcPr>
          <w:p w14:paraId="4F7DDCE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1,537</w:t>
            </w:r>
          </w:p>
        </w:tc>
        <w:tc>
          <w:tcPr>
            <w:tcW w:w="680" w:type="dxa"/>
            <w:tcBorders>
              <w:top w:val="nil"/>
              <w:left w:val="nil"/>
              <w:bottom w:val="nil"/>
              <w:right w:val="nil"/>
            </w:tcBorders>
            <w:shd w:val="clear" w:color="000000" w:fill="FFFFFF"/>
            <w:noWrap/>
            <w:vAlign w:val="bottom"/>
            <w:hideMark/>
          </w:tcPr>
          <w:p w14:paraId="2A9128AC"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2,610</w:t>
            </w:r>
          </w:p>
        </w:tc>
        <w:tc>
          <w:tcPr>
            <w:tcW w:w="719" w:type="dxa"/>
            <w:tcBorders>
              <w:top w:val="nil"/>
              <w:left w:val="nil"/>
              <w:bottom w:val="nil"/>
              <w:right w:val="nil"/>
            </w:tcBorders>
            <w:shd w:val="clear" w:color="000000" w:fill="FFFFFF"/>
            <w:noWrap/>
            <w:vAlign w:val="bottom"/>
            <w:hideMark/>
          </w:tcPr>
          <w:p w14:paraId="1DD20748"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508</w:t>
            </w:r>
          </w:p>
        </w:tc>
      </w:tr>
      <w:tr w:rsidR="009A5001" w:rsidRPr="009A5001" w14:paraId="308C864D" w14:textId="77777777" w:rsidTr="003C3BD1">
        <w:trPr>
          <w:trHeight w:val="348"/>
        </w:trPr>
        <w:tc>
          <w:tcPr>
            <w:tcW w:w="1020" w:type="dxa"/>
            <w:tcBorders>
              <w:top w:val="nil"/>
              <w:left w:val="nil"/>
              <w:bottom w:val="nil"/>
              <w:right w:val="nil"/>
            </w:tcBorders>
            <w:shd w:val="clear" w:color="auto" w:fill="auto"/>
            <w:noWrap/>
            <w:vAlign w:val="bottom"/>
            <w:hideMark/>
          </w:tcPr>
          <w:p w14:paraId="253C1343"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w:t>
            </w:r>
          </w:p>
        </w:tc>
        <w:tc>
          <w:tcPr>
            <w:tcW w:w="680" w:type="dxa"/>
            <w:tcBorders>
              <w:top w:val="nil"/>
              <w:left w:val="nil"/>
              <w:bottom w:val="nil"/>
              <w:right w:val="nil"/>
            </w:tcBorders>
            <w:shd w:val="clear" w:color="auto" w:fill="auto"/>
            <w:noWrap/>
            <w:vAlign w:val="bottom"/>
            <w:hideMark/>
          </w:tcPr>
          <w:p w14:paraId="0CBBB3C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739</w:t>
            </w:r>
          </w:p>
        </w:tc>
        <w:tc>
          <w:tcPr>
            <w:tcW w:w="719" w:type="dxa"/>
            <w:tcBorders>
              <w:top w:val="nil"/>
              <w:left w:val="nil"/>
              <w:bottom w:val="nil"/>
              <w:right w:val="nil"/>
            </w:tcBorders>
            <w:shd w:val="clear" w:color="auto" w:fill="auto"/>
            <w:noWrap/>
            <w:vAlign w:val="bottom"/>
            <w:hideMark/>
          </w:tcPr>
          <w:p w14:paraId="17ED9DB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13</w:t>
            </w:r>
          </w:p>
        </w:tc>
        <w:tc>
          <w:tcPr>
            <w:tcW w:w="680" w:type="dxa"/>
            <w:tcBorders>
              <w:top w:val="nil"/>
              <w:left w:val="nil"/>
              <w:bottom w:val="nil"/>
              <w:right w:val="nil"/>
            </w:tcBorders>
            <w:shd w:val="clear" w:color="auto" w:fill="auto"/>
            <w:noWrap/>
            <w:vAlign w:val="bottom"/>
            <w:hideMark/>
          </w:tcPr>
          <w:p w14:paraId="11C8FC1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340</w:t>
            </w:r>
          </w:p>
        </w:tc>
        <w:tc>
          <w:tcPr>
            <w:tcW w:w="719" w:type="dxa"/>
            <w:tcBorders>
              <w:top w:val="nil"/>
              <w:left w:val="nil"/>
              <w:bottom w:val="nil"/>
              <w:right w:val="nil"/>
            </w:tcBorders>
            <w:shd w:val="clear" w:color="auto" w:fill="auto"/>
            <w:noWrap/>
            <w:vAlign w:val="bottom"/>
            <w:hideMark/>
          </w:tcPr>
          <w:p w14:paraId="667C643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w:t>
            </w:r>
          </w:p>
        </w:tc>
        <w:tc>
          <w:tcPr>
            <w:tcW w:w="680" w:type="dxa"/>
            <w:tcBorders>
              <w:top w:val="nil"/>
              <w:left w:val="nil"/>
              <w:bottom w:val="nil"/>
              <w:right w:val="nil"/>
            </w:tcBorders>
            <w:shd w:val="clear" w:color="auto" w:fill="auto"/>
            <w:noWrap/>
            <w:vAlign w:val="bottom"/>
            <w:hideMark/>
          </w:tcPr>
          <w:p w14:paraId="4D1E362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919</w:t>
            </w:r>
          </w:p>
        </w:tc>
        <w:tc>
          <w:tcPr>
            <w:tcW w:w="719" w:type="dxa"/>
            <w:tcBorders>
              <w:top w:val="nil"/>
              <w:left w:val="nil"/>
              <w:bottom w:val="nil"/>
              <w:right w:val="nil"/>
            </w:tcBorders>
            <w:shd w:val="clear" w:color="auto" w:fill="auto"/>
            <w:noWrap/>
            <w:vAlign w:val="bottom"/>
            <w:hideMark/>
          </w:tcPr>
          <w:p w14:paraId="1B0F4BC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68</w:t>
            </w:r>
          </w:p>
        </w:tc>
        <w:tc>
          <w:tcPr>
            <w:tcW w:w="680" w:type="dxa"/>
            <w:tcBorders>
              <w:top w:val="nil"/>
              <w:left w:val="nil"/>
              <w:bottom w:val="nil"/>
              <w:right w:val="nil"/>
            </w:tcBorders>
            <w:shd w:val="clear" w:color="auto" w:fill="auto"/>
            <w:noWrap/>
            <w:vAlign w:val="bottom"/>
            <w:hideMark/>
          </w:tcPr>
          <w:p w14:paraId="34DB0F8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1,143</w:t>
            </w:r>
          </w:p>
        </w:tc>
        <w:tc>
          <w:tcPr>
            <w:tcW w:w="719" w:type="dxa"/>
            <w:tcBorders>
              <w:top w:val="nil"/>
              <w:left w:val="nil"/>
              <w:bottom w:val="nil"/>
              <w:right w:val="nil"/>
            </w:tcBorders>
            <w:shd w:val="clear" w:color="auto" w:fill="auto"/>
            <w:noWrap/>
            <w:vAlign w:val="bottom"/>
            <w:hideMark/>
          </w:tcPr>
          <w:p w14:paraId="52F04A2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193</w:t>
            </w:r>
          </w:p>
        </w:tc>
        <w:tc>
          <w:tcPr>
            <w:tcW w:w="680" w:type="dxa"/>
            <w:tcBorders>
              <w:top w:val="nil"/>
              <w:left w:val="nil"/>
              <w:bottom w:val="nil"/>
              <w:right w:val="nil"/>
            </w:tcBorders>
            <w:shd w:val="clear" w:color="auto" w:fill="auto"/>
            <w:noWrap/>
            <w:vAlign w:val="bottom"/>
            <w:hideMark/>
          </w:tcPr>
          <w:p w14:paraId="675A4B6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1,768</w:t>
            </w:r>
          </w:p>
        </w:tc>
        <w:tc>
          <w:tcPr>
            <w:tcW w:w="719" w:type="dxa"/>
            <w:tcBorders>
              <w:top w:val="nil"/>
              <w:left w:val="nil"/>
              <w:bottom w:val="nil"/>
              <w:right w:val="nil"/>
            </w:tcBorders>
            <w:shd w:val="clear" w:color="auto" w:fill="auto"/>
            <w:noWrap/>
            <w:vAlign w:val="bottom"/>
            <w:hideMark/>
          </w:tcPr>
          <w:p w14:paraId="0E0CA5D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489</w:t>
            </w:r>
          </w:p>
        </w:tc>
        <w:tc>
          <w:tcPr>
            <w:tcW w:w="680" w:type="dxa"/>
            <w:tcBorders>
              <w:top w:val="nil"/>
              <w:left w:val="nil"/>
              <w:bottom w:val="nil"/>
              <w:right w:val="nil"/>
            </w:tcBorders>
            <w:shd w:val="clear" w:color="auto" w:fill="auto"/>
            <w:noWrap/>
            <w:vAlign w:val="bottom"/>
            <w:hideMark/>
          </w:tcPr>
          <w:p w14:paraId="1641D0C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2,970</w:t>
            </w:r>
          </w:p>
        </w:tc>
        <w:tc>
          <w:tcPr>
            <w:tcW w:w="719" w:type="dxa"/>
            <w:tcBorders>
              <w:top w:val="nil"/>
              <w:left w:val="nil"/>
              <w:bottom w:val="nil"/>
              <w:right w:val="nil"/>
            </w:tcBorders>
            <w:shd w:val="clear" w:color="auto" w:fill="auto"/>
            <w:noWrap/>
            <w:vAlign w:val="bottom"/>
            <w:hideMark/>
          </w:tcPr>
          <w:p w14:paraId="75F3A00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915</w:t>
            </w:r>
          </w:p>
        </w:tc>
        <w:tc>
          <w:tcPr>
            <w:tcW w:w="680" w:type="dxa"/>
            <w:tcBorders>
              <w:top w:val="nil"/>
              <w:left w:val="nil"/>
              <w:bottom w:val="nil"/>
              <w:right w:val="nil"/>
            </w:tcBorders>
            <w:shd w:val="clear" w:color="auto" w:fill="auto"/>
            <w:noWrap/>
            <w:vAlign w:val="bottom"/>
            <w:hideMark/>
          </w:tcPr>
          <w:p w14:paraId="1E4E69A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4,459</w:t>
            </w:r>
          </w:p>
        </w:tc>
        <w:tc>
          <w:tcPr>
            <w:tcW w:w="719" w:type="dxa"/>
            <w:tcBorders>
              <w:top w:val="nil"/>
              <w:left w:val="nil"/>
              <w:bottom w:val="nil"/>
              <w:right w:val="nil"/>
            </w:tcBorders>
            <w:shd w:val="clear" w:color="auto" w:fill="auto"/>
            <w:noWrap/>
            <w:vAlign w:val="bottom"/>
            <w:hideMark/>
          </w:tcPr>
          <w:p w14:paraId="41373DE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1,604</w:t>
            </w:r>
          </w:p>
        </w:tc>
        <w:tc>
          <w:tcPr>
            <w:tcW w:w="680" w:type="dxa"/>
            <w:tcBorders>
              <w:top w:val="nil"/>
              <w:left w:val="nil"/>
              <w:bottom w:val="nil"/>
              <w:right w:val="nil"/>
            </w:tcBorders>
            <w:shd w:val="clear" w:color="auto" w:fill="auto"/>
            <w:noWrap/>
            <w:vAlign w:val="bottom"/>
            <w:hideMark/>
          </w:tcPr>
          <w:p w14:paraId="7F4E766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5,320</w:t>
            </w:r>
          </w:p>
        </w:tc>
        <w:tc>
          <w:tcPr>
            <w:tcW w:w="719" w:type="dxa"/>
            <w:tcBorders>
              <w:top w:val="nil"/>
              <w:left w:val="nil"/>
              <w:bottom w:val="nil"/>
              <w:right w:val="nil"/>
            </w:tcBorders>
            <w:shd w:val="clear" w:color="auto" w:fill="auto"/>
            <w:noWrap/>
            <w:vAlign w:val="bottom"/>
            <w:hideMark/>
          </w:tcPr>
          <w:p w14:paraId="0021ED3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1,784</w:t>
            </w:r>
          </w:p>
        </w:tc>
        <w:tc>
          <w:tcPr>
            <w:tcW w:w="680" w:type="dxa"/>
            <w:tcBorders>
              <w:top w:val="nil"/>
              <w:left w:val="nil"/>
              <w:bottom w:val="nil"/>
              <w:right w:val="nil"/>
            </w:tcBorders>
            <w:shd w:val="clear" w:color="auto" w:fill="auto"/>
            <w:noWrap/>
            <w:vAlign w:val="bottom"/>
            <w:hideMark/>
          </w:tcPr>
          <w:p w14:paraId="30964B0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4,970</w:t>
            </w:r>
          </w:p>
        </w:tc>
        <w:tc>
          <w:tcPr>
            <w:tcW w:w="719" w:type="dxa"/>
            <w:tcBorders>
              <w:top w:val="nil"/>
              <w:left w:val="nil"/>
              <w:bottom w:val="nil"/>
              <w:right w:val="nil"/>
            </w:tcBorders>
            <w:shd w:val="clear" w:color="auto" w:fill="auto"/>
            <w:noWrap/>
            <w:vAlign w:val="bottom"/>
            <w:hideMark/>
          </w:tcPr>
          <w:p w14:paraId="10C9CCB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1,421</w:t>
            </w:r>
          </w:p>
        </w:tc>
        <w:tc>
          <w:tcPr>
            <w:tcW w:w="680" w:type="dxa"/>
            <w:tcBorders>
              <w:top w:val="nil"/>
              <w:left w:val="nil"/>
              <w:bottom w:val="nil"/>
              <w:right w:val="nil"/>
            </w:tcBorders>
            <w:shd w:val="clear" w:color="000000" w:fill="FFFFFF"/>
            <w:noWrap/>
            <w:vAlign w:val="bottom"/>
            <w:hideMark/>
          </w:tcPr>
          <w:p w14:paraId="28BEBFE0"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2,336</w:t>
            </w:r>
          </w:p>
        </w:tc>
        <w:tc>
          <w:tcPr>
            <w:tcW w:w="719" w:type="dxa"/>
            <w:tcBorders>
              <w:top w:val="nil"/>
              <w:left w:val="nil"/>
              <w:bottom w:val="nil"/>
              <w:right w:val="nil"/>
            </w:tcBorders>
            <w:shd w:val="clear" w:color="000000" w:fill="FFFFFF"/>
            <w:noWrap/>
            <w:vAlign w:val="bottom"/>
            <w:hideMark/>
          </w:tcPr>
          <w:p w14:paraId="38D3CDD7"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440</w:t>
            </w:r>
          </w:p>
        </w:tc>
      </w:tr>
      <w:tr w:rsidR="009A5001" w:rsidRPr="009A5001" w14:paraId="10FA0396" w14:textId="77777777" w:rsidTr="003C3BD1">
        <w:trPr>
          <w:trHeight w:val="348"/>
        </w:trPr>
        <w:tc>
          <w:tcPr>
            <w:tcW w:w="1020" w:type="dxa"/>
            <w:tcBorders>
              <w:top w:val="nil"/>
              <w:left w:val="nil"/>
              <w:bottom w:val="nil"/>
              <w:right w:val="nil"/>
            </w:tcBorders>
            <w:shd w:val="clear" w:color="auto" w:fill="auto"/>
            <w:noWrap/>
            <w:vAlign w:val="bottom"/>
            <w:hideMark/>
          </w:tcPr>
          <w:p w14:paraId="1A08FF9B"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w:t>
            </w:r>
          </w:p>
        </w:tc>
        <w:tc>
          <w:tcPr>
            <w:tcW w:w="680" w:type="dxa"/>
            <w:tcBorders>
              <w:top w:val="nil"/>
              <w:left w:val="nil"/>
              <w:bottom w:val="nil"/>
              <w:right w:val="nil"/>
            </w:tcBorders>
            <w:shd w:val="clear" w:color="auto" w:fill="auto"/>
            <w:noWrap/>
            <w:vAlign w:val="bottom"/>
            <w:hideMark/>
          </w:tcPr>
          <w:p w14:paraId="6642A9A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732</w:t>
            </w:r>
          </w:p>
        </w:tc>
        <w:tc>
          <w:tcPr>
            <w:tcW w:w="719" w:type="dxa"/>
            <w:tcBorders>
              <w:top w:val="nil"/>
              <w:left w:val="nil"/>
              <w:bottom w:val="nil"/>
              <w:right w:val="nil"/>
            </w:tcBorders>
            <w:shd w:val="clear" w:color="auto" w:fill="auto"/>
            <w:noWrap/>
            <w:vAlign w:val="bottom"/>
            <w:hideMark/>
          </w:tcPr>
          <w:p w14:paraId="267395C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15</w:t>
            </w:r>
          </w:p>
        </w:tc>
        <w:tc>
          <w:tcPr>
            <w:tcW w:w="680" w:type="dxa"/>
            <w:tcBorders>
              <w:top w:val="nil"/>
              <w:left w:val="nil"/>
              <w:bottom w:val="nil"/>
              <w:right w:val="nil"/>
            </w:tcBorders>
            <w:shd w:val="clear" w:color="auto" w:fill="auto"/>
            <w:noWrap/>
            <w:vAlign w:val="bottom"/>
            <w:hideMark/>
          </w:tcPr>
          <w:p w14:paraId="3B44F36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338</w:t>
            </w:r>
          </w:p>
        </w:tc>
        <w:tc>
          <w:tcPr>
            <w:tcW w:w="719" w:type="dxa"/>
            <w:tcBorders>
              <w:top w:val="nil"/>
              <w:left w:val="nil"/>
              <w:bottom w:val="nil"/>
              <w:right w:val="nil"/>
            </w:tcBorders>
            <w:shd w:val="clear" w:color="auto" w:fill="auto"/>
            <w:noWrap/>
            <w:vAlign w:val="bottom"/>
            <w:hideMark/>
          </w:tcPr>
          <w:p w14:paraId="5F3A1AD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w:t>
            </w:r>
          </w:p>
        </w:tc>
        <w:tc>
          <w:tcPr>
            <w:tcW w:w="680" w:type="dxa"/>
            <w:tcBorders>
              <w:top w:val="nil"/>
              <w:left w:val="nil"/>
              <w:bottom w:val="nil"/>
              <w:right w:val="nil"/>
            </w:tcBorders>
            <w:shd w:val="clear" w:color="auto" w:fill="auto"/>
            <w:noWrap/>
            <w:vAlign w:val="bottom"/>
            <w:hideMark/>
          </w:tcPr>
          <w:p w14:paraId="5324B04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913</w:t>
            </w:r>
          </w:p>
        </w:tc>
        <w:tc>
          <w:tcPr>
            <w:tcW w:w="719" w:type="dxa"/>
            <w:tcBorders>
              <w:top w:val="nil"/>
              <w:left w:val="nil"/>
              <w:bottom w:val="nil"/>
              <w:right w:val="nil"/>
            </w:tcBorders>
            <w:shd w:val="clear" w:color="auto" w:fill="auto"/>
            <w:noWrap/>
            <w:vAlign w:val="bottom"/>
            <w:hideMark/>
          </w:tcPr>
          <w:p w14:paraId="418C600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69</w:t>
            </w:r>
          </w:p>
        </w:tc>
        <w:tc>
          <w:tcPr>
            <w:tcW w:w="680" w:type="dxa"/>
            <w:tcBorders>
              <w:top w:val="nil"/>
              <w:left w:val="nil"/>
              <w:bottom w:val="nil"/>
              <w:right w:val="nil"/>
            </w:tcBorders>
            <w:shd w:val="clear" w:color="auto" w:fill="auto"/>
            <w:noWrap/>
            <w:vAlign w:val="bottom"/>
            <w:hideMark/>
          </w:tcPr>
          <w:p w14:paraId="414CAF2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1,145</w:t>
            </w:r>
          </w:p>
        </w:tc>
        <w:tc>
          <w:tcPr>
            <w:tcW w:w="719" w:type="dxa"/>
            <w:tcBorders>
              <w:top w:val="nil"/>
              <w:left w:val="nil"/>
              <w:bottom w:val="nil"/>
              <w:right w:val="nil"/>
            </w:tcBorders>
            <w:shd w:val="clear" w:color="auto" w:fill="auto"/>
            <w:noWrap/>
            <w:vAlign w:val="bottom"/>
            <w:hideMark/>
          </w:tcPr>
          <w:p w14:paraId="35E8575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247</w:t>
            </w:r>
          </w:p>
        </w:tc>
        <w:tc>
          <w:tcPr>
            <w:tcW w:w="680" w:type="dxa"/>
            <w:tcBorders>
              <w:top w:val="nil"/>
              <w:left w:val="nil"/>
              <w:bottom w:val="nil"/>
              <w:right w:val="nil"/>
            </w:tcBorders>
            <w:shd w:val="clear" w:color="auto" w:fill="auto"/>
            <w:noWrap/>
            <w:vAlign w:val="bottom"/>
            <w:hideMark/>
          </w:tcPr>
          <w:p w14:paraId="2D6C6FB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1,782</w:t>
            </w:r>
          </w:p>
        </w:tc>
        <w:tc>
          <w:tcPr>
            <w:tcW w:w="719" w:type="dxa"/>
            <w:tcBorders>
              <w:top w:val="nil"/>
              <w:left w:val="nil"/>
              <w:bottom w:val="nil"/>
              <w:right w:val="nil"/>
            </w:tcBorders>
            <w:shd w:val="clear" w:color="auto" w:fill="auto"/>
            <w:noWrap/>
            <w:vAlign w:val="bottom"/>
            <w:hideMark/>
          </w:tcPr>
          <w:p w14:paraId="34068CA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546</w:t>
            </w:r>
          </w:p>
        </w:tc>
        <w:tc>
          <w:tcPr>
            <w:tcW w:w="680" w:type="dxa"/>
            <w:tcBorders>
              <w:top w:val="nil"/>
              <w:left w:val="nil"/>
              <w:bottom w:val="nil"/>
              <w:right w:val="nil"/>
            </w:tcBorders>
            <w:shd w:val="clear" w:color="auto" w:fill="auto"/>
            <w:noWrap/>
            <w:vAlign w:val="bottom"/>
            <w:hideMark/>
          </w:tcPr>
          <w:p w14:paraId="7A4EE65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3,009</w:t>
            </w:r>
          </w:p>
        </w:tc>
        <w:tc>
          <w:tcPr>
            <w:tcW w:w="719" w:type="dxa"/>
            <w:tcBorders>
              <w:top w:val="nil"/>
              <w:left w:val="nil"/>
              <w:bottom w:val="nil"/>
              <w:right w:val="nil"/>
            </w:tcBorders>
            <w:shd w:val="clear" w:color="auto" w:fill="auto"/>
            <w:noWrap/>
            <w:vAlign w:val="bottom"/>
            <w:hideMark/>
          </w:tcPr>
          <w:p w14:paraId="3FE690B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991</w:t>
            </w:r>
          </w:p>
        </w:tc>
        <w:tc>
          <w:tcPr>
            <w:tcW w:w="680" w:type="dxa"/>
            <w:tcBorders>
              <w:top w:val="nil"/>
              <w:left w:val="nil"/>
              <w:bottom w:val="nil"/>
              <w:right w:val="nil"/>
            </w:tcBorders>
            <w:shd w:val="clear" w:color="auto" w:fill="auto"/>
            <w:noWrap/>
            <w:vAlign w:val="bottom"/>
            <w:hideMark/>
          </w:tcPr>
          <w:p w14:paraId="0B4B57F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4,485</w:t>
            </w:r>
          </w:p>
        </w:tc>
        <w:tc>
          <w:tcPr>
            <w:tcW w:w="719" w:type="dxa"/>
            <w:tcBorders>
              <w:top w:val="nil"/>
              <w:left w:val="nil"/>
              <w:bottom w:val="nil"/>
              <w:right w:val="nil"/>
            </w:tcBorders>
            <w:shd w:val="clear" w:color="auto" w:fill="auto"/>
            <w:noWrap/>
            <w:vAlign w:val="bottom"/>
            <w:hideMark/>
          </w:tcPr>
          <w:p w14:paraId="64794B4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1,670</w:t>
            </w:r>
          </w:p>
        </w:tc>
        <w:tc>
          <w:tcPr>
            <w:tcW w:w="680" w:type="dxa"/>
            <w:tcBorders>
              <w:top w:val="nil"/>
              <w:left w:val="nil"/>
              <w:bottom w:val="nil"/>
              <w:right w:val="nil"/>
            </w:tcBorders>
            <w:shd w:val="clear" w:color="auto" w:fill="auto"/>
            <w:noWrap/>
            <w:vAlign w:val="bottom"/>
            <w:hideMark/>
          </w:tcPr>
          <w:p w14:paraId="1C49F2B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5,203</w:t>
            </w:r>
          </w:p>
        </w:tc>
        <w:tc>
          <w:tcPr>
            <w:tcW w:w="719" w:type="dxa"/>
            <w:tcBorders>
              <w:top w:val="nil"/>
              <w:left w:val="nil"/>
              <w:bottom w:val="nil"/>
              <w:right w:val="nil"/>
            </w:tcBorders>
            <w:shd w:val="clear" w:color="auto" w:fill="auto"/>
            <w:noWrap/>
            <w:vAlign w:val="bottom"/>
            <w:hideMark/>
          </w:tcPr>
          <w:p w14:paraId="5BF1C72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1,841</w:t>
            </w:r>
          </w:p>
        </w:tc>
        <w:tc>
          <w:tcPr>
            <w:tcW w:w="680" w:type="dxa"/>
            <w:tcBorders>
              <w:top w:val="nil"/>
              <w:left w:val="nil"/>
              <w:bottom w:val="nil"/>
              <w:right w:val="nil"/>
            </w:tcBorders>
            <w:shd w:val="clear" w:color="auto" w:fill="auto"/>
            <w:noWrap/>
            <w:vAlign w:val="bottom"/>
            <w:hideMark/>
          </w:tcPr>
          <w:p w14:paraId="6571E72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4,899</w:t>
            </w:r>
          </w:p>
        </w:tc>
        <w:tc>
          <w:tcPr>
            <w:tcW w:w="719" w:type="dxa"/>
            <w:tcBorders>
              <w:top w:val="nil"/>
              <w:left w:val="nil"/>
              <w:bottom w:val="nil"/>
              <w:right w:val="nil"/>
            </w:tcBorders>
            <w:shd w:val="clear" w:color="auto" w:fill="auto"/>
            <w:noWrap/>
            <w:vAlign w:val="bottom"/>
            <w:hideMark/>
          </w:tcPr>
          <w:p w14:paraId="5DBCAD2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1,369</w:t>
            </w:r>
          </w:p>
        </w:tc>
        <w:tc>
          <w:tcPr>
            <w:tcW w:w="680" w:type="dxa"/>
            <w:tcBorders>
              <w:top w:val="nil"/>
              <w:left w:val="nil"/>
              <w:bottom w:val="nil"/>
              <w:right w:val="nil"/>
            </w:tcBorders>
            <w:shd w:val="clear" w:color="000000" w:fill="FFFFFF"/>
            <w:noWrap/>
            <w:vAlign w:val="bottom"/>
            <w:hideMark/>
          </w:tcPr>
          <w:p w14:paraId="2A4BE55F"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2,335</w:t>
            </w:r>
          </w:p>
        </w:tc>
        <w:tc>
          <w:tcPr>
            <w:tcW w:w="719" w:type="dxa"/>
            <w:tcBorders>
              <w:top w:val="nil"/>
              <w:left w:val="nil"/>
              <w:bottom w:val="nil"/>
              <w:right w:val="nil"/>
            </w:tcBorders>
            <w:shd w:val="clear" w:color="000000" w:fill="FFFFFF"/>
            <w:noWrap/>
            <w:vAlign w:val="bottom"/>
            <w:hideMark/>
          </w:tcPr>
          <w:p w14:paraId="3CAB416F"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490</w:t>
            </w:r>
          </w:p>
        </w:tc>
      </w:tr>
      <w:tr w:rsidR="009A5001" w:rsidRPr="009A5001" w14:paraId="4D7F79BC" w14:textId="77777777" w:rsidTr="003C3BD1">
        <w:trPr>
          <w:trHeight w:val="348"/>
        </w:trPr>
        <w:tc>
          <w:tcPr>
            <w:tcW w:w="1020" w:type="dxa"/>
            <w:tcBorders>
              <w:top w:val="nil"/>
              <w:left w:val="nil"/>
              <w:bottom w:val="nil"/>
              <w:right w:val="nil"/>
            </w:tcBorders>
            <w:shd w:val="clear" w:color="auto" w:fill="auto"/>
            <w:noWrap/>
            <w:vAlign w:val="bottom"/>
            <w:hideMark/>
          </w:tcPr>
          <w:p w14:paraId="6268572C"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w:t>
            </w:r>
          </w:p>
        </w:tc>
        <w:tc>
          <w:tcPr>
            <w:tcW w:w="680" w:type="dxa"/>
            <w:tcBorders>
              <w:top w:val="nil"/>
              <w:left w:val="nil"/>
              <w:bottom w:val="nil"/>
              <w:right w:val="nil"/>
            </w:tcBorders>
            <w:shd w:val="clear" w:color="auto" w:fill="auto"/>
            <w:noWrap/>
            <w:vAlign w:val="bottom"/>
            <w:hideMark/>
          </w:tcPr>
          <w:p w14:paraId="57E5305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757</w:t>
            </w:r>
          </w:p>
        </w:tc>
        <w:tc>
          <w:tcPr>
            <w:tcW w:w="719" w:type="dxa"/>
            <w:tcBorders>
              <w:top w:val="nil"/>
              <w:left w:val="nil"/>
              <w:bottom w:val="nil"/>
              <w:right w:val="nil"/>
            </w:tcBorders>
            <w:shd w:val="clear" w:color="auto" w:fill="auto"/>
            <w:noWrap/>
            <w:vAlign w:val="bottom"/>
            <w:hideMark/>
          </w:tcPr>
          <w:p w14:paraId="0E7C4F0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w:t>
            </w:r>
          </w:p>
        </w:tc>
        <w:tc>
          <w:tcPr>
            <w:tcW w:w="680" w:type="dxa"/>
            <w:tcBorders>
              <w:top w:val="nil"/>
              <w:left w:val="nil"/>
              <w:bottom w:val="nil"/>
              <w:right w:val="nil"/>
            </w:tcBorders>
            <w:shd w:val="clear" w:color="auto" w:fill="auto"/>
            <w:noWrap/>
            <w:vAlign w:val="bottom"/>
            <w:hideMark/>
          </w:tcPr>
          <w:p w14:paraId="51F075B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368</w:t>
            </w:r>
          </w:p>
        </w:tc>
        <w:tc>
          <w:tcPr>
            <w:tcW w:w="719" w:type="dxa"/>
            <w:tcBorders>
              <w:top w:val="nil"/>
              <w:left w:val="nil"/>
              <w:bottom w:val="nil"/>
              <w:right w:val="nil"/>
            </w:tcBorders>
            <w:shd w:val="clear" w:color="auto" w:fill="auto"/>
            <w:noWrap/>
            <w:vAlign w:val="bottom"/>
            <w:hideMark/>
          </w:tcPr>
          <w:p w14:paraId="10E0D3D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21</w:t>
            </w:r>
          </w:p>
        </w:tc>
        <w:tc>
          <w:tcPr>
            <w:tcW w:w="680" w:type="dxa"/>
            <w:tcBorders>
              <w:top w:val="nil"/>
              <w:left w:val="nil"/>
              <w:bottom w:val="nil"/>
              <w:right w:val="nil"/>
            </w:tcBorders>
            <w:shd w:val="clear" w:color="auto" w:fill="auto"/>
            <w:noWrap/>
            <w:vAlign w:val="bottom"/>
            <w:hideMark/>
          </w:tcPr>
          <w:p w14:paraId="1C2B70D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926</w:t>
            </w:r>
          </w:p>
        </w:tc>
        <w:tc>
          <w:tcPr>
            <w:tcW w:w="719" w:type="dxa"/>
            <w:tcBorders>
              <w:top w:val="nil"/>
              <w:left w:val="nil"/>
              <w:bottom w:val="nil"/>
              <w:right w:val="nil"/>
            </w:tcBorders>
            <w:shd w:val="clear" w:color="auto" w:fill="auto"/>
            <w:noWrap/>
            <w:vAlign w:val="bottom"/>
            <w:hideMark/>
          </w:tcPr>
          <w:p w14:paraId="4995A9F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91</w:t>
            </w:r>
          </w:p>
        </w:tc>
        <w:tc>
          <w:tcPr>
            <w:tcW w:w="680" w:type="dxa"/>
            <w:tcBorders>
              <w:top w:val="nil"/>
              <w:left w:val="nil"/>
              <w:bottom w:val="nil"/>
              <w:right w:val="nil"/>
            </w:tcBorders>
            <w:shd w:val="clear" w:color="auto" w:fill="auto"/>
            <w:noWrap/>
            <w:vAlign w:val="bottom"/>
            <w:hideMark/>
          </w:tcPr>
          <w:p w14:paraId="0DA7821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1,151</w:t>
            </w:r>
          </w:p>
        </w:tc>
        <w:tc>
          <w:tcPr>
            <w:tcW w:w="719" w:type="dxa"/>
            <w:tcBorders>
              <w:top w:val="nil"/>
              <w:left w:val="nil"/>
              <w:bottom w:val="nil"/>
              <w:right w:val="nil"/>
            </w:tcBorders>
            <w:shd w:val="clear" w:color="auto" w:fill="auto"/>
            <w:noWrap/>
            <w:vAlign w:val="bottom"/>
            <w:hideMark/>
          </w:tcPr>
          <w:p w14:paraId="6E35854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319</w:t>
            </w:r>
          </w:p>
        </w:tc>
        <w:tc>
          <w:tcPr>
            <w:tcW w:w="680" w:type="dxa"/>
            <w:tcBorders>
              <w:top w:val="nil"/>
              <w:left w:val="nil"/>
              <w:bottom w:val="nil"/>
              <w:right w:val="nil"/>
            </w:tcBorders>
            <w:shd w:val="clear" w:color="auto" w:fill="auto"/>
            <w:noWrap/>
            <w:vAlign w:val="bottom"/>
            <w:hideMark/>
          </w:tcPr>
          <w:p w14:paraId="1646594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1,778</w:t>
            </w:r>
          </w:p>
        </w:tc>
        <w:tc>
          <w:tcPr>
            <w:tcW w:w="719" w:type="dxa"/>
            <w:tcBorders>
              <w:top w:val="nil"/>
              <w:left w:val="nil"/>
              <w:bottom w:val="nil"/>
              <w:right w:val="nil"/>
            </w:tcBorders>
            <w:shd w:val="clear" w:color="auto" w:fill="auto"/>
            <w:noWrap/>
            <w:vAlign w:val="bottom"/>
            <w:hideMark/>
          </w:tcPr>
          <w:p w14:paraId="23DC792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720</w:t>
            </w:r>
          </w:p>
        </w:tc>
        <w:tc>
          <w:tcPr>
            <w:tcW w:w="680" w:type="dxa"/>
            <w:tcBorders>
              <w:top w:val="nil"/>
              <w:left w:val="nil"/>
              <w:bottom w:val="nil"/>
              <w:right w:val="nil"/>
            </w:tcBorders>
            <w:shd w:val="clear" w:color="auto" w:fill="auto"/>
            <w:noWrap/>
            <w:vAlign w:val="bottom"/>
            <w:hideMark/>
          </w:tcPr>
          <w:p w14:paraId="5C1F832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3,051</w:t>
            </w:r>
          </w:p>
        </w:tc>
        <w:tc>
          <w:tcPr>
            <w:tcW w:w="719" w:type="dxa"/>
            <w:tcBorders>
              <w:top w:val="nil"/>
              <w:left w:val="nil"/>
              <w:bottom w:val="nil"/>
              <w:right w:val="nil"/>
            </w:tcBorders>
            <w:shd w:val="clear" w:color="auto" w:fill="auto"/>
            <w:noWrap/>
            <w:vAlign w:val="bottom"/>
            <w:hideMark/>
          </w:tcPr>
          <w:p w14:paraId="3FF7A11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1,148</w:t>
            </w:r>
          </w:p>
        </w:tc>
        <w:tc>
          <w:tcPr>
            <w:tcW w:w="680" w:type="dxa"/>
            <w:tcBorders>
              <w:top w:val="nil"/>
              <w:left w:val="nil"/>
              <w:bottom w:val="nil"/>
              <w:right w:val="nil"/>
            </w:tcBorders>
            <w:shd w:val="clear" w:color="auto" w:fill="auto"/>
            <w:noWrap/>
            <w:vAlign w:val="bottom"/>
            <w:hideMark/>
          </w:tcPr>
          <w:p w14:paraId="19ED0B5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4,550</w:t>
            </w:r>
          </w:p>
        </w:tc>
        <w:tc>
          <w:tcPr>
            <w:tcW w:w="719" w:type="dxa"/>
            <w:tcBorders>
              <w:top w:val="nil"/>
              <w:left w:val="nil"/>
              <w:bottom w:val="nil"/>
              <w:right w:val="nil"/>
            </w:tcBorders>
            <w:shd w:val="clear" w:color="auto" w:fill="auto"/>
            <w:noWrap/>
            <w:vAlign w:val="bottom"/>
            <w:hideMark/>
          </w:tcPr>
          <w:p w14:paraId="35D7C8D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2,041</w:t>
            </w:r>
          </w:p>
        </w:tc>
        <w:tc>
          <w:tcPr>
            <w:tcW w:w="680" w:type="dxa"/>
            <w:tcBorders>
              <w:top w:val="nil"/>
              <w:left w:val="nil"/>
              <w:bottom w:val="nil"/>
              <w:right w:val="nil"/>
            </w:tcBorders>
            <w:shd w:val="clear" w:color="auto" w:fill="auto"/>
            <w:noWrap/>
            <w:vAlign w:val="bottom"/>
            <w:hideMark/>
          </w:tcPr>
          <w:p w14:paraId="3241A71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5,266</w:t>
            </w:r>
          </w:p>
        </w:tc>
        <w:tc>
          <w:tcPr>
            <w:tcW w:w="719" w:type="dxa"/>
            <w:tcBorders>
              <w:top w:val="nil"/>
              <w:left w:val="nil"/>
              <w:bottom w:val="nil"/>
              <w:right w:val="nil"/>
            </w:tcBorders>
            <w:shd w:val="clear" w:color="auto" w:fill="auto"/>
            <w:noWrap/>
            <w:vAlign w:val="bottom"/>
            <w:hideMark/>
          </w:tcPr>
          <w:p w14:paraId="1BB4114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2,228</w:t>
            </w:r>
          </w:p>
        </w:tc>
        <w:tc>
          <w:tcPr>
            <w:tcW w:w="680" w:type="dxa"/>
            <w:tcBorders>
              <w:top w:val="nil"/>
              <w:left w:val="nil"/>
              <w:bottom w:val="nil"/>
              <w:right w:val="nil"/>
            </w:tcBorders>
            <w:shd w:val="clear" w:color="auto" w:fill="auto"/>
            <w:noWrap/>
            <w:vAlign w:val="bottom"/>
            <w:hideMark/>
          </w:tcPr>
          <w:p w14:paraId="66075DD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5,009</w:t>
            </w:r>
          </w:p>
        </w:tc>
        <w:tc>
          <w:tcPr>
            <w:tcW w:w="719" w:type="dxa"/>
            <w:tcBorders>
              <w:top w:val="nil"/>
              <w:left w:val="nil"/>
              <w:bottom w:val="nil"/>
              <w:right w:val="nil"/>
            </w:tcBorders>
            <w:shd w:val="clear" w:color="auto" w:fill="auto"/>
            <w:noWrap/>
            <w:vAlign w:val="bottom"/>
            <w:hideMark/>
          </w:tcPr>
          <w:p w14:paraId="43A77F1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1,650</w:t>
            </w:r>
          </w:p>
        </w:tc>
        <w:tc>
          <w:tcPr>
            <w:tcW w:w="680" w:type="dxa"/>
            <w:tcBorders>
              <w:top w:val="nil"/>
              <w:left w:val="nil"/>
              <w:bottom w:val="nil"/>
              <w:right w:val="nil"/>
            </w:tcBorders>
            <w:shd w:val="clear" w:color="000000" w:fill="FFFFFF"/>
            <w:noWrap/>
            <w:vAlign w:val="bottom"/>
            <w:hideMark/>
          </w:tcPr>
          <w:p w14:paraId="0BC32625"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2,436</w:t>
            </w:r>
          </w:p>
        </w:tc>
        <w:tc>
          <w:tcPr>
            <w:tcW w:w="719" w:type="dxa"/>
            <w:tcBorders>
              <w:top w:val="nil"/>
              <w:left w:val="nil"/>
              <w:bottom w:val="nil"/>
              <w:right w:val="nil"/>
            </w:tcBorders>
            <w:shd w:val="clear" w:color="000000" w:fill="FFFFFF"/>
            <w:noWrap/>
            <w:vAlign w:val="bottom"/>
            <w:hideMark/>
          </w:tcPr>
          <w:p w14:paraId="589B00ED"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494</w:t>
            </w:r>
          </w:p>
        </w:tc>
      </w:tr>
      <w:tr w:rsidR="009A5001" w:rsidRPr="009A5001" w14:paraId="0F8053B4" w14:textId="77777777" w:rsidTr="003C3BD1">
        <w:trPr>
          <w:trHeight w:val="348"/>
        </w:trPr>
        <w:tc>
          <w:tcPr>
            <w:tcW w:w="1020" w:type="dxa"/>
            <w:tcBorders>
              <w:top w:val="nil"/>
              <w:left w:val="nil"/>
              <w:bottom w:val="nil"/>
              <w:right w:val="nil"/>
            </w:tcBorders>
            <w:shd w:val="clear" w:color="auto" w:fill="auto"/>
            <w:noWrap/>
            <w:vAlign w:val="bottom"/>
            <w:hideMark/>
          </w:tcPr>
          <w:p w14:paraId="2E6E01E1"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w:t>
            </w:r>
          </w:p>
        </w:tc>
        <w:tc>
          <w:tcPr>
            <w:tcW w:w="680" w:type="dxa"/>
            <w:tcBorders>
              <w:top w:val="nil"/>
              <w:left w:val="nil"/>
              <w:bottom w:val="nil"/>
              <w:right w:val="nil"/>
            </w:tcBorders>
            <w:shd w:val="clear" w:color="auto" w:fill="auto"/>
            <w:noWrap/>
            <w:vAlign w:val="bottom"/>
            <w:hideMark/>
          </w:tcPr>
          <w:p w14:paraId="4D4AF3B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739</w:t>
            </w:r>
          </w:p>
        </w:tc>
        <w:tc>
          <w:tcPr>
            <w:tcW w:w="719" w:type="dxa"/>
            <w:tcBorders>
              <w:top w:val="nil"/>
              <w:left w:val="nil"/>
              <w:bottom w:val="nil"/>
              <w:right w:val="nil"/>
            </w:tcBorders>
            <w:shd w:val="clear" w:color="auto" w:fill="auto"/>
            <w:noWrap/>
            <w:vAlign w:val="bottom"/>
            <w:hideMark/>
          </w:tcPr>
          <w:p w14:paraId="4F75CC8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21</w:t>
            </w:r>
          </w:p>
        </w:tc>
        <w:tc>
          <w:tcPr>
            <w:tcW w:w="680" w:type="dxa"/>
            <w:tcBorders>
              <w:top w:val="nil"/>
              <w:left w:val="nil"/>
              <w:bottom w:val="nil"/>
              <w:right w:val="nil"/>
            </w:tcBorders>
            <w:shd w:val="clear" w:color="auto" w:fill="auto"/>
            <w:noWrap/>
            <w:vAlign w:val="bottom"/>
            <w:hideMark/>
          </w:tcPr>
          <w:p w14:paraId="7533AD8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310</w:t>
            </w:r>
          </w:p>
        </w:tc>
        <w:tc>
          <w:tcPr>
            <w:tcW w:w="719" w:type="dxa"/>
            <w:tcBorders>
              <w:top w:val="nil"/>
              <w:left w:val="nil"/>
              <w:bottom w:val="nil"/>
              <w:right w:val="nil"/>
            </w:tcBorders>
            <w:shd w:val="clear" w:color="auto" w:fill="auto"/>
            <w:noWrap/>
            <w:vAlign w:val="bottom"/>
            <w:hideMark/>
          </w:tcPr>
          <w:p w14:paraId="5A95227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22</w:t>
            </w:r>
          </w:p>
        </w:tc>
        <w:tc>
          <w:tcPr>
            <w:tcW w:w="680" w:type="dxa"/>
            <w:tcBorders>
              <w:top w:val="nil"/>
              <w:left w:val="nil"/>
              <w:bottom w:val="nil"/>
              <w:right w:val="nil"/>
            </w:tcBorders>
            <w:shd w:val="clear" w:color="auto" w:fill="auto"/>
            <w:noWrap/>
            <w:vAlign w:val="bottom"/>
            <w:hideMark/>
          </w:tcPr>
          <w:p w14:paraId="2658AE1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907</w:t>
            </w:r>
          </w:p>
        </w:tc>
        <w:tc>
          <w:tcPr>
            <w:tcW w:w="719" w:type="dxa"/>
            <w:tcBorders>
              <w:top w:val="nil"/>
              <w:left w:val="nil"/>
              <w:bottom w:val="nil"/>
              <w:right w:val="nil"/>
            </w:tcBorders>
            <w:shd w:val="clear" w:color="auto" w:fill="auto"/>
            <w:noWrap/>
            <w:vAlign w:val="bottom"/>
            <w:hideMark/>
          </w:tcPr>
          <w:p w14:paraId="331A6C7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134</w:t>
            </w:r>
          </w:p>
        </w:tc>
        <w:tc>
          <w:tcPr>
            <w:tcW w:w="680" w:type="dxa"/>
            <w:tcBorders>
              <w:top w:val="nil"/>
              <w:left w:val="nil"/>
              <w:bottom w:val="nil"/>
              <w:right w:val="nil"/>
            </w:tcBorders>
            <w:shd w:val="clear" w:color="auto" w:fill="auto"/>
            <w:noWrap/>
            <w:vAlign w:val="bottom"/>
            <w:hideMark/>
          </w:tcPr>
          <w:p w14:paraId="17BEC94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1,168</w:t>
            </w:r>
          </w:p>
        </w:tc>
        <w:tc>
          <w:tcPr>
            <w:tcW w:w="719" w:type="dxa"/>
            <w:tcBorders>
              <w:top w:val="nil"/>
              <w:left w:val="nil"/>
              <w:bottom w:val="nil"/>
              <w:right w:val="nil"/>
            </w:tcBorders>
            <w:shd w:val="clear" w:color="auto" w:fill="auto"/>
            <w:noWrap/>
            <w:vAlign w:val="bottom"/>
            <w:hideMark/>
          </w:tcPr>
          <w:p w14:paraId="0D3B577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467</w:t>
            </w:r>
          </w:p>
        </w:tc>
        <w:tc>
          <w:tcPr>
            <w:tcW w:w="680" w:type="dxa"/>
            <w:tcBorders>
              <w:top w:val="nil"/>
              <w:left w:val="nil"/>
              <w:bottom w:val="nil"/>
              <w:right w:val="nil"/>
            </w:tcBorders>
            <w:shd w:val="clear" w:color="auto" w:fill="auto"/>
            <w:noWrap/>
            <w:vAlign w:val="bottom"/>
            <w:hideMark/>
          </w:tcPr>
          <w:p w14:paraId="389676E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1,869</w:t>
            </w:r>
          </w:p>
        </w:tc>
        <w:tc>
          <w:tcPr>
            <w:tcW w:w="719" w:type="dxa"/>
            <w:tcBorders>
              <w:top w:val="nil"/>
              <w:left w:val="nil"/>
              <w:bottom w:val="nil"/>
              <w:right w:val="nil"/>
            </w:tcBorders>
            <w:shd w:val="clear" w:color="auto" w:fill="auto"/>
            <w:noWrap/>
            <w:vAlign w:val="bottom"/>
            <w:hideMark/>
          </w:tcPr>
          <w:p w14:paraId="7F5D12A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975</w:t>
            </w:r>
          </w:p>
        </w:tc>
        <w:tc>
          <w:tcPr>
            <w:tcW w:w="680" w:type="dxa"/>
            <w:tcBorders>
              <w:top w:val="nil"/>
              <w:left w:val="nil"/>
              <w:bottom w:val="nil"/>
              <w:right w:val="nil"/>
            </w:tcBorders>
            <w:shd w:val="clear" w:color="auto" w:fill="auto"/>
            <w:noWrap/>
            <w:vAlign w:val="bottom"/>
            <w:hideMark/>
          </w:tcPr>
          <w:p w14:paraId="30A15F1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3,100</w:t>
            </w:r>
          </w:p>
        </w:tc>
        <w:tc>
          <w:tcPr>
            <w:tcW w:w="719" w:type="dxa"/>
            <w:tcBorders>
              <w:top w:val="nil"/>
              <w:left w:val="nil"/>
              <w:bottom w:val="nil"/>
              <w:right w:val="nil"/>
            </w:tcBorders>
            <w:shd w:val="clear" w:color="auto" w:fill="auto"/>
            <w:noWrap/>
            <w:vAlign w:val="bottom"/>
            <w:hideMark/>
          </w:tcPr>
          <w:p w14:paraId="39CAE2A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1,660</w:t>
            </w:r>
          </w:p>
        </w:tc>
        <w:tc>
          <w:tcPr>
            <w:tcW w:w="680" w:type="dxa"/>
            <w:tcBorders>
              <w:top w:val="nil"/>
              <w:left w:val="nil"/>
              <w:bottom w:val="nil"/>
              <w:right w:val="nil"/>
            </w:tcBorders>
            <w:shd w:val="clear" w:color="auto" w:fill="auto"/>
            <w:noWrap/>
            <w:vAlign w:val="bottom"/>
            <w:hideMark/>
          </w:tcPr>
          <w:p w14:paraId="3765276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4,613</w:t>
            </w:r>
          </w:p>
        </w:tc>
        <w:tc>
          <w:tcPr>
            <w:tcW w:w="719" w:type="dxa"/>
            <w:tcBorders>
              <w:top w:val="nil"/>
              <w:left w:val="nil"/>
              <w:bottom w:val="nil"/>
              <w:right w:val="nil"/>
            </w:tcBorders>
            <w:shd w:val="clear" w:color="auto" w:fill="auto"/>
            <w:noWrap/>
            <w:vAlign w:val="bottom"/>
            <w:hideMark/>
          </w:tcPr>
          <w:p w14:paraId="3EA6AB3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2,814</w:t>
            </w:r>
          </w:p>
        </w:tc>
        <w:tc>
          <w:tcPr>
            <w:tcW w:w="680" w:type="dxa"/>
            <w:tcBorders>
              <w:top w:val="nil"/>
              <w:left w:val="nil"/>
              <w:bottom w:val="nil"/>
              <w:right w:val="nil"/>
            </w:tcBorders>
            <w:shd w:val="clear" w:color="auto" w:fill="auto"/>
            <w:noWrap/>
            <w:vAlign w:val="bottom"/>
            <w:hideMark/>
          </w:tcPr>
          <w:p w14:paraId="1B0300F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5,184</w:t>
            </w:r>
          </w:p>
        </w:tc>
        <w:tc>
          <w:tcPr>
            <w:tcW w:w="719" w:type="dxa"/>
            <w:tcBorders>
              <w:top w:val="nil"/>
              <w:left w:val="nil"/>
              <w:bottom w:val="nil"/>
              <w:right w:val="nil"/>
            </w:tcBorders>
            <w:shd w:val="clear" w:color="auto" w:fill="auto"/>
            <w:noWrap/>
            <w:vAlign w:val="bottom"/>
            <w:hideMark/>
          </w:tcPr>
          <w:p w14:paraId="5D4824F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2,831</w:t>
            </w:r>
          </w:p>
        </w:tc>
        <w:tc>
          <w:tcPr>
            <w:tcW w:w="680" w:type="dxa"/>
            <w:tcBorders>
              <w:top w:val="nil"/>
              <w:left w:val="nil"/>
              <w:bottom w:val="nil"/>
              <w:right w:val="nil"/>
            </w:tcBorders>
            <w:shd w:val="clear" w:color="auto" w:fill="auto"/>
            <w:noWrap/>
            <w:vAlign w:val="bottom"/>
            <w:hideMark/>
          </w:tcPr>
          <w:p w14:paraId="33BE3A5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5,137</w:t>
            </w:r>
          </w:p>
        </w:tc>
        <w:tc>
          <w:tcPr>
            <w:tcW w:w="719" w:type="dxa"/>
            <w:tcBorders>
              <w:top w:val="nil"/>
              <w:left w:val="nil"/>
              <w:bottom w:val="nil"/>
              <w:right w:val="nil"/>
            </w:tcBorders>
            <w:shd w:val="clear" w:color="auto" w:fill="auto"/>
            <w:noWrap/>
            <w:vAlign w:val="bottom"/>
            <w:hideMark/>
          </w:tcPr>
          <w:p w14:paraId="23D21BE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2,161</w:t>
            </w:r>
          </w:p>
        </w:tc>
        <w:tc>
          <w:tcPr>
            <w:tcW w:w="680" w:type="dxa"/>
            <w:tcBorders>
              <w:top w:val="nil"/>
              <w:left w:val="nil"/>
              <w:bottom w:val="nil"/>
              <w:right w:val="nil"/>
            </w:tcBorders>
            <w:shd w:val="clear" w:color="000000" w:fill="FFFFFF"/>
            <w:noWrap/>
            <w:vAlign w:val="bottom"/>
            <w:hideMark/>
          </w:tcPr>
          <w:p w14:paraId="4E85ABD6"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2,365</w:t>
            </w:r>
          </w:p>
        </w:tc>
        <w:tc>
          <w:tcPr>
            <w:tcW w:w="719" w:type="dxa"/>
            <w:tcBorders>
              <w:top w:val="nil"/>
              <w:left w:val="nil"/>
              <w:bottom w:val="nil"/>
              <w:right w:val="nil"/>
            </w:tcBorders>
            <w:shd w:val="clear" w:color="000000" w:fill="FFFFFF"/>
            <w:noWrap/>
            <w:vAlign w:val="bottom"/>
            <w:hideMark/>
          </w:tcPr>
          <w:p w14:paraId="791E03AF"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681</w:t>
            </w:r>
          </w:p>
        </w:tc>
      </w:tr>
      <w:tr w:rsidR="009A5001" w:rsidRPr="009A5001" w14:paraId="5AF87D92" w14:textId="77777777" w:rsidTr="003C3BD1">
        <w:trPr>
          <w:trHeight w:val="348"/>
        </w:trPr>
        <w:tc>
          <w:tcPr>
            <w:tcW w:w="1020" w:type="dxa"/>
            <w:tcBorders>
              <w:top w:val="nil"/>
              <w:left w:val="nil"/>
              <w:bottom w:val="nil"/>
              <w:right w:val="nil"/>
            </w:tcBorders>
            <w:shd w:val="clear" w:color="auto" w:fill="auto"/>
            <w:noWrap/>
            <w:vAlign w:val="bottom"/>
            <w:hideMark/>
          </w:tcPr>
          <w:p w14:paraId="4917CF12"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10</w:t>
            </w:r>
          </w:p>
        </w:tc>
        <w:tc>
          <w:tcPr>
            <w:tcW w:w="680" w:type="dxa"/>
            <w:tcBorders>
              <w:top w:val="nil"/>
              <w:left w:val="nil"/>
              <w:bottom w:val="nil"/>
              <w:right w:val="nil"/>
            </w:tcBorders>
            <w:shd w:val="clear" w:color="auto" w:fill="auto"/>
            <w:noWrap/>
            <w:vAlign w:val="bottom"/>
            <w:hideMark/>
          </w:tcPr>
          <w:p w14:paraId="316FC59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761</w:t>
            </w:r>
          </w:p>
        </w:tc>
        <w:tc>
          <w:tcPr>
            <w:tcW w:w="719" w:type="dxa"/>
            <w:tcBorders>
              <w:top w:val="nil"/>
              <w:left w:val="nil"/>
              <w:bottom w:val="nil"/>
              <w:right w:val="nil"/>
            </w:tcBorders>
            <w:shd w:val="clear" w:color="auto" w:fill="auto"/>
            <w:noWrap/>
            <w:vAlign w:val="bottom"/>
            <w:hideMark/>
          </w:tcPr>
          <w:p w14:paraId="27FC532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15</w:t>
            </w:r>
          </w:p>
        </w:tc>
        <w:tc>
          <w:tcPr>
            <w:tcW w:w="680" w:type="dxa"/>
            <w:tcBorders>
              <w:top w:val="nil"/>
              <w:left w:val="nil"/>
              <w:bottom w:val="nil"/>
              <w:right w:val="nil"/>
            </w:tcBorders>
            <w:shd w:val="clear" w:color="auto" w:fill="auto"/>
            <w:noWrap/>
            <w:vAlign w:val="bottom"/>
            <w:hideMark/>
          </w:tcPr>
          <w:p w14:paraId="160FC1F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322</w:t>
            </w:r>
          </w:p>
        </w:tc>
        <w:tc>
          <w:tcPr>
            <w:tcW w:w="719" w:type="dxa"/>
            <w:tcBorders>
              <w:top w:val="nil"/>
              <w:left w:val="nil"/>
              <w:bottom w:val="nil"/>
              <w:right w:val="nil"/>
            </w:tcBorders>
            <w:shd w:val="clear" w:color="auto" w:fill="auto"/>
            <w:noWrap/>
            <w:vAlign w:val="bottom"/>
            <w:hideMark/>
          </w:tcPr>
          <w:p w14:paraId="7590C15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21</w:t>
            </w:r>
          </w:p>
        </w:tc>
        <w:tc>
          <w:tcPr>
            <w:tcW w:w="680" w:type="dxa"/>
            <w:tcBorders>
              <w:top w:val="nil"/>
              <w:left w:val="nil"/>
              <w:bottom w:val="nil"/>
              <w:right w:val="nil"/>
            </w:tcBorders>
            <w:shd w:val="clear" w:color="auto" w:fill="auto"/>
            <w:noWrap/>
            <w:vAlign w:val="bottom"/>
            <w:hideMark/>
          </w:tcPr>
          <w:p w14:paraId="4D55678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935</w:t>
            </w:r>
          </w:p>
        </w:tc>
        <w:tc>
          <w:tcPr>
            <w:tcW w:w="719" w:type="dxa"/>
            <w:tcBorders>
              <w:top w:val="nil"/>
              <w:left w:val="nil"/>
              <w:bottom w:val="nil"/>
              <w:right w:val="nil"/>
            </w:tcBorders>
            <w:shd w:val="clear" w:color="auto" w:fill="auto"/>
            <w:noWrap/>
            <w:vAlign w:val="bottom"/>
            <w:hideMark/>
          </w:tcPr>
          <w:p w14:paraId="60710F3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178</w:t>
            </w:r>
          </w:p>
        </w:tc>
        <w:tc>
          <w:tcPr>
            <w:tcW w:w="680" w:type="dxa"/>
            <w:tcBorders>
              <w:top w:val="nil"/>
              <w:left w:val="nil"/>
              <w:bottom w:val="nil"/>
              <w:right w:val="nil"/>
            </w:tcBorders>
            <w:shd w:val="clear" w:color="auto" w:fill="auto"/>
            <w:noWrap/>
            <w:vAlign w:val="bottom"/>
            <w:hideMark/>
          </w:tcPr>
          <w:p w14:paraId="6C60954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1,133</w:t>
            </w:r>
          </w:p>
        </w:tc>
        <w:tc>
          <w:tcPr>
            <w:tcW w:w="719" w:type="dxa"/>
            <w:tcBorders>
              <w:top w:val="nil"/>
              <w:left w:val="nil"/>
              <w:bottom w:val="nil"/>
              <w:right w:val="nil"/>
            </w:tcBorders>
            <w:shd w:val="clear" w:color="auto" w:fill="auto"/>
            <w:noWrap/>
            <w:vAlign w:val="bottom"/>
            <w:hideMark/>
          </w:tcPr>
          <w:p w14:paraId="504BB3C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663</w:t>
            </w:r>
          </w:p>
        </w:tc>
        <w:tc>
          <w:tcPr>
            <w:tcW w:w="680" w:type="dxa"/>
            <w:tcBorders>
              <w:top w:val="nil"/>
              <w:left w:val="nil"/>
              <w:bottom w:val="nil"/>
              <w:right w:val="nil"/>
            </w:tcBorders>
            <w:shd w:val="clear" w:color="auto" w:fill="auto"/>
            <w:noWrap/>
            <w:vAlign w:val="bottom"/>
            <w:hideMark/>
          </w:tcPr>
          <w:p w14:paraId="033C1A2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1,850</w:t>
            </w:r>
          </w:p>
        </w:tc>
        <w:tc>
          <w:tcPr>
            <w:tcW w:w="719" w:type="dxa"/>
            <w:tcBorders>
              <w:top w:val="nil"/>
              <w:left w:val="nil"/>
              <w:bottom w:val="nil"/>
              <w:right w:val="nil"/>
            </w:tcBorders>
            <w:shd w:val="clear" w:color="auto" w:fill="auto"/>
            <w:noWrap/>
            <w:vAlign w:val="bottom"/>
            <w:hideMark/>
          </w:tcPr>
          <w:p w14:paraId="33C3391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1,366</w:t>
            </w:r>
          </w:p>
        </w:tc>
        <w:tc>
          <w:tcPr>
            <w:tcW w:w="680" w:type="dxa"/>
            <w:tcBorders>
              <w:top w:val="nil"/>
              <w:left w:val="nil"/>
              <w:bottom w:val="nil"/>
              <w:right w:val="nil"/>
            </w:tcBorders>
            <w:shd w:val="clear" w:color="auto" w:fill="auto"/>
            <w:noWrap/>
            <w:vAlign w:val="bottom"/>
            <w:hideMark/>
          </w:tcPr>
          <w:p w14:paraId="6372A7D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3,181</w:t>
            </w:r>
          </w:p>
        </w:tc>
        <w:tc>
          <w:tcPr>
            <w:tcW w:w="719" w:type="dxa"/>
            <w:tcBorders>
              <w:top w:val="nil"/>
              <w:left w:val="nil"/>
              <w:bottom w:val="nil"/>
              <w:right w:val="nil"/>
            </w:tcBorders>
            <w:shd w:val="clear" w:color="auto" w:fill="auto"/>
            <w:noWrap/>
            <w:vAlign w:val="bottom"/>
            <w:hideMark/>
          </w:tcPr>
          <w:p w14:paraId="409DA43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2,313</w:t>
            </w:r>
          </w:p>
        </w:tc>
        <w:tc>
          <w:tcPr>
            <w:tcW w:w="680" w:type="dxa"/>
            <w:tcBorders>
              <w:top w:val="nil"/>
              <w:left w:val="nil"/>
              <w:bottom w:val="nil"/>
              <w:right w:val="nil"/>
            </w:tcBorders>
            <w:shd w:val="clear" w:color="auto" w:fill="auto"/>
            <w:noWrap/>
            <w:vAlign w:val="bottom"/>
            <w:hideMark/>
          </w:tcPr>
          <w:p w14:paraId="7AB1CC4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4,683</w:t>
            </w:r>
          </w:p>
        </w:tc>
        <w:tc>
          <w:tcPr>
            <w:tcW w:w="719" w:type="dxa"/>
            <w:tcBorders>
              <w:top w:val="nil"/>
              <w:left w:val="nil"/>
              <w:bottom w:val="nil"/>
              <w:right w:val="nil"/>
            </w:tcBorders>
            <w:shd w:val="clear" w:color="auto" w:fill="auto"/>
            <w:noWrap/>
            <w:vAlign w:val="bottom"/>
            <w:hideMark/>
          </w:tcPr>
          <w:p w14:paraId="11F610F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3,662</w:t>
            </w:r>
          </w:p>
        </w:tc>
        <w:tc>
          <w:tcPr>
            <w:tcW w:w="680" w:type="dxa"/>
            <w:tcBorders>
              <w:top w:val="nil"/>
              <w:left w:val="nil"/>
              <w:bottom w:val="nil"/>
              <w:right w:val="nil"/>
            </w:tcBorders>
            <w:shd w:val="clear" w:color="auto" w:fill="auto"/>
            <w:noWrap/>
            <w:vAlign w:val="bottom"/>
            <w:hideMark/>
          </w:tcPr>
          <w:p w14:paraId="27F5997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5,458</w:t>
            </w:r>
          </w:p>
        </w:tc>
        <w:tc>
          <w:tcPr>
            <w:tcW w:w="719" w:type="dxa"/>
            <w:tcBorders>
              <w:top w:val="nil"/>
              <w:left w:val="nil"/>
              <w:bottom w:val="nil"/>
              <w:right w:val="nil"/>
            </w:tcBorders>
            <w:shd w:val="clear" w:color="auto" w:fill="auto"/>
            <w:noWrap/>
            <w:vAlign w:val="bottom"/>
            <w:hideMark/>
          </w:tcPr>
          <w:p w14:paraId="140E2E6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4,054</w:t>
            </w:r>
          </w:p>
        </w:tc>
        <w:tc>
          <w:tcPr>
            <w:tcW w:w="680" w:type="dxa"/>
            <w:tcBorders>
              <w:top w:val="nil"/>
              <w:left w:val="nil"/>
              <w:bottom w:val="nil"/>
              <w:right w:val="nil"/>
            </w:tcBorders>
            <w:shd w:val="clear" w:color="auto" w:fill="auto"/>
            <w:noWrap/>
            <w:vAlign w:val="bottom"/>
            <w:hideMark/>
          </w:tcPr>
          <w:p w14:paraId="7F15C3C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5,281</w:t>
            </w:r>
          </w:p>
        </w:tc>
        <w:tc>
          <w:tcPr>
            <w:tcW w:w="719" w:type="dxa"/>
            <w:tcBorders>
              <w:top w:val="nil"/>
              <w:left w:val="nil"/>
              <w:bottom w:val="nil"/>
              <w:right w:val="nil"/>
            </w:tcBorders>
            <w:shd w:val="clear" w:color="auto" w:fill="auto"/>
            <w:noWrap/>
            <w:vAlign w:val="bottom"/>
            <w:hideMark/>
          </w:tcPr>
          <w:p w14:paraId="0105B91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2,586</w:t>
            </w:r>
          </w:p>
        </w:tc>
        <w:tc>
          <w:tcPr>
            <w:tcW w:w="680" w:type="dxa"/>
            <w:tcBorders>
              <w:top w:val="nil"/>
              <w:left w:val="nil"/>
              <w:bottom w:val="nil"/>
              <w:right w:val="nil"/>
            </w:tcBorders>
            <w:shd w:val="clear" w:color="000000" w:fill="FFFFFF"/>
            <w:noWrap/>
            <w:vAlign w:val="bottom"/>
            <w:hideMark/>
          </w:tcPr>
          <w:p w14:paraId="539B4A00"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2,445</w:t>
            </w:r>
          </w:p>
        </w:tc>
        <w:tc>
          <w:tcPr>
            <w:tcW w:w="719" w:type="dxa"/>
            <w:tcBorders>
              <w:top w:val="nil"/>
              <w:left w:val="nil"/>
              <w:bottom w:val="nil"/>
              <w:right w:val="nil"/>
            </w:tcBorders>
            <w:shd w:val="clear" w:color="000000" w:fill="FFFFFF"/>
            <w:noWrap/>
            <w:vAlign w:val="bottom"/>
            <w:hideMark/>
          </w:tcPr>
          <w:p w14:paraId="0772D23F"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749</w:t>
            </w:r>
          </w:p>
        </w:tc>
      </w:tr>
      <w:tr w:rsidR="009A5001" w:rsidRPr="009A5001" w14:paraId="4515B00F" w14:textId="77777777" w:rsidTr="003C3BD1">
        <w:trPr>
          <w:trHeight w:val="348"/>
        </w:trPr>
        <w:tc>
          <w:tcPr>
            <w:tcW w:w="1020" w:type="dxa"/>
            <w:tcBorders>
              <w:top w:val="nil"/>
              <w:left w:val="nil"/>
              <w:bottom w:val="nil"/>
              <w:right w:val="nil"/>
            </w:tcBorders>
            <w:shd w:val="clear" w:color="auto" w:fill="auto"/>
            <w:noWrap/>
            <w:vAlign w:val="bottom"/>
            <w:hideMark/>
          </w:tcPr>
          <w:p w14:paraId="09F63D35"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w:t>
            </w:r>
          </w:p>
        </w:tc>
        <w:tc>
          <w:tcPr>
            <w:tcW w:w="680" w:type="dxa"/>
            <w:tcBorders>
              <w:top w:val="nil"/>
              <w:left w:val="nil"/>
              <w:bottom w:val="nil"/>
              <w:right w:val="nil"/>
            </w:tcBorders>
            <w:shd w:val="clear" w:color="auto" w:fill="auto"/>
            <w:noWrap/>
            <w:vAlign w:val="bottom"/>
            <w:hideMark/>
          </w:tcPr>
          <w:p w14:paraId="4696D4B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766</w:t>
            </w:r>
          </w:p>
        </w:tc>
        <w:tc>
          <w:tcPr>
            <w:tcW w:w="719" w:type="dxa"/>
            <w:tcBorders>
              <w:top w:val="nil"/>
              <w:left w:val="nil"/>
              <w:bottom w:val="nil"/>
              <w:right w:val="nil"/>
            </w:tcBorders>
            <w:shd w:val="clear" w:color="auto" w:fill="auto"/>
            <w:noWrap/>
            <w:vAlign w:val="bottom"/>
            <w:hideMark/>
          </w:tcPr>
          <w:p w14:paraId="236AA49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25</w:t>
            </w:r>
          </w:p>
        </w:tc>
        <w:tc>
          <w:tcPr>
            <w:tcW w:w="680" w:type="dxa"/>
            <w:tcBorders>
              <w:top w:val="nil"/>
              <w:left w:val="nil"/>
              <w:bottom w:val="nil"/>
              <w:right w:val="nil"/>
            </w:tcBorders>
            <w:shd w:val="clear" w:color="auto" w:fill="auto"/>
            <w:noWrap/>
            <w:vAlign w:val="bottom"/>
            <w:hideMark/>
          </w:tcPr>
          <w:p w14:paraId="4D389B8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334</w:t>
            </w:r>
          </w:p>
        </w:tc>
        <w:tc>
          <w:tcPr>
            <w:tcW w:w="719" w:type="dxa"/>
            <w:tcBorders>
              <w:top w:val="nil"/>
              <w:left w:val="nil"/>
              <w:bottom w:val="nil"/>
              <w:right w:val="nil"/>
            </w:tcBorders>
            <w:shd w:val="clear" w:color="auto" w:fill="auto"/>
            <w:noWrap/>
            <w:vAlign w:val="bottom"/>
            <w:hideMark/>
          </w:tcPr>
          <w:p w14:paraId="0FB37B1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28</w:t>
            </w:r>
          </w:p>
        </w:tc>
        <w:tc>
          <w:tcPr>
            <w:tcW w:w="680" w:type="dxa"/>
            <w:tcBorders>
              <w:top w:val="nil"/>
              <w:left w:val="nil"/>
              <w:bottom w:val="nil"/>
              <w:right w:val="nil"/>
            </w:tcBorders>
            <w:shd w:val="clear" w:color="auto" w:fill="auto"/>
            <w:noWrap/>
            <w:vAlign w:val="bottom"/>
            <w:hideMark/>
          </w:tcPr>
          <w:p w14:paraId="7386BEA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909</w:t>
            </w:r>
          </w:p>
        </w:tc>
        <w:tc>
          <w:tcPr>
            <w:tcW w:w="719" w:type="dxa"/>
            <w:tcBorders>
              <w:top w:val="nil"/>
              <w:left w:val="nil"/>
              <w:bottom w:val="nil"/>
              <w:right w:val="nil"/>
            </w:tcBorders>
            <w:shd w:val="clear" w:color="auto" w:fill="auto"/>
            <w:noWrap/>
            <w:vAlign w:val="bottom"/>
            <w:hideMark/>
          </w:tcPr>
          <w:p w14:paraId="134E0D6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188</w:t>
            </w:r>
          </w:p>
        </w:tc>
        <w:tc>
          <w:tcPr>
            <w:tcW w:w="680" w:type="dxa"/>
            <w:tcBorders>
              <w:top w:val="nil"/>
              <w:left w:val="nil"/>
              <w:bottom w:val="nil"/>
              <w:right w:val="nil"/>
            </w:tcBorders>
            <w:shd w:val="clear" w:color="auto" w:fill="auto"/>
            <w:noWrap/>
            <w:vAlign w:val="bottom"/>
            <w:hideMark/>
          </w:tcPr>
          <w:p w14:paraId="3465DDF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1,223</w:t>
            </w:r>
          </w:p>
        </w:tc>
        <w:tc>
          <w:tcPr>
            <w:tcW w:w="719" w:type="dxa"/>
            <w:tcBorders>
              <w:top w:val="nil"/>
              <w:left w:val="nil"/>
              <w:bottom w:val="nil"/>
              <w:right w:val="nil"/>
            </w:tcBorders>
            <w:shd w:val="clear" w:color="auto" w:fill="auto"/>
            <w:noWrap/>
            <w:vAlign w:val="bottom"/>
            <w:hideMark/>
          </w:tcPr>
          <w:p w14:paraId="4300747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916</w:t>
            </w:r>
          </w:p>
        </w:tc>
        <w:tc>
          <w:tcPr>
            <w:tcW w:w="680" w:type="dxa"/>
            <w:tcBorders>
              <w:top w:val="nil"/>
              <w:left w:val="nil"/>
              <w:bottom w:val="nil"/>
              <w:right w:val="nil"/>
            </w:tcBorders>
            <w:shd w:val="clear" w:color="auto" w:fill="auto"/>
            <w:noWrap/>
            <w:vAlign w:val="bottom"/>
            <w:hideMark/>
          </w:tcPr>
          <w:p w14:paraId="0380D41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1,879</w:t>
            </w:r>
          </w:p>
        </w:tc>
        <w:tc>
          <w:tcPr>
            <w:tcW w:w="719" w:type="dxa"/>
            <w:tcBorders>
              <w:top w:val="nil"/>
              <w:left w:val="nil"/>
              <w:bottom w:val="nil"/>
              <w:right w:val="nil"/>
            </w:tcBorders>
            <w:shd w:val="clear" w:color="auto" w:fill="auto"/>
            <w:noWrap/>
            <w:vAlign w:val="bottom"/>
            <w:hideMark/>
          </w:tcPr>
          <w:p w14:paraId="0056696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1,856</w:t>
            </w:r>
          </w:p>
        </w:tc>
        <w:tc>
          <w:tcPr>
            <w:tcW w:w="680" w:type="dxa"/>
            <w:tcBorders>
              <w:top w:val="nil"/>
              <w:left w:val="nil"/>
              <w:bottom w:val="nil"/>
              <w:right w:val="nil"/>
            </w:tcBorders>
            <w:shd w:val="clear" w:color="auto" w:fill="auto"/>
            <w:noWrap/>
            <w:vAlign w:val="bottom"/>
            <w:hideMark/>
          </w:tcPr>
          <w:p w14:paraId="0E165A7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3,098</w:t>
            </w:r>
          </w:p>
        </w:tc>
        <w:tc>
          <w:tcPr>
            <w:tcW w:w="719" w:type="dxa"/>
            <w:tcBorders>
              <w:top w:val="nil"/>
              <w:left w:val="nil"/>
              <w:bottom w:val="nil"/>
              <w:right w:val="nil"/>
            </w:tcBorders>
            <w:shd w:val="clear" w:color="auto" w:fill="auto"/>
            <w:noWrap/>
            <w:vAlign w:val="bottom"/>
            <w:hideMark/>
          </w:tcPr>
          <w:p w14:paraId="0A99CDC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3,178</w:t>
            </w:r>
          </w:p>
        </w:tc>
        <w:tc>
          <w:tcPr>
            <w:tcW w:w="680" w:type="dxa"/>
            <w:tcBorders>
              <w:top w:val="nil"/>
              <w:left w:val="nil"/>
              <w:bottom w:val="nil"/>
              <w:right w:val="nil"/>
            </w:tcBorders>
            <w:shd w:val="clear" w:color="auto" w:fill="auto"/>
            <w:noWrap/>
            <w:vAlign w:val="bottom"/>
            <w:hideMark/>
          </w:tcPr>
          <w:p w14:paraId="4978B3E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4,927</w:t>
            </w:r>
          </w:p>
        </w:tc>
        <w:tc>
          <w:tcPr>
            <w:tcW w:w="719" w:type="dxa"/>
            <w:tcBorders>
              <w:top w:val="nil"/>
              <w:left w:val="nil"/>
              <w:bottom w:val="nil"/>
              <w:right w:val="nil"/>
            </w:tcBorders>
            <w:shd w:val="clear" w:color="auto" w:fill="auto"/>
            <w:noWrap/>
            <w:vAlign w:val="bottom"/>
            <w:hideMark/>
          </w:tcPr>
          <w:p w14:paraId="369B6C9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4,945</w:t>
            </w:r>
          </w:p>
        </w:tc>
        <w:tc>
          <w:tcPr>
            <w:tcW w:w="680" w:type="dxa"/>
            <w:tcBorders>
              <w:top w:val="nil"/>
              <w:left w:val="nil"/>
              <w:bottom w:val="nil"/>
              <w:right w:val="nil"/>
            </w:tcBorders>
            <w:shd w:val="clear" w:color="auto" w:fill="auto"/>
            <w:noWrap/>
            <w:vAlign w:val="bottom"/>
            <w:hideMark/>
          </w:tcPr>
          <w:p w14:paraId="03A097B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5,702</w:t>
            </w:r>
          </w:p>
        </w:tc>
        <w:tc>
          <w:tcPr>
            <w:tcW w:w="719" w:type="dxa"/>
            <w:tcBorders>
              <w:top w:val="nil"/>
              <w:left w:val="nil"/>
              <w:bottom w:val="nil"/>
              <w:right w:val="nil"/>
            </w:tcBorders>
            <w:shd w:val="clear" w:color="auto" w:fill="auto"/>
            <w:noWrap/>
            <w:vAlign w:val="bottom"/>
            <w:hideMark/>
          </w:tcPr>
          <w:p w14:paraId="42E94BA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5,007</w:t>
            </w:r>
          </w:p>
        </w:tc>
        <w:tc>
          <w:tcPr>
            <w:tcW w:w="680" w:type="dxa"/>
            <w:tcBorders>
              <w:top w:val="nil"/>
              <w:left w:val="nil"/>
              <w:bottom w:val="nil"/>
              <w:right w:val="nil"/>
            </w:tcBorders>
            <w:shd w:val="clear" w:color="auto" w:fill="auto"/>
            <w:noWrap/>
            <w:vAlign w:val="bottom"/>
            <w:hideMark/>
          </w:tcPr>
          <w:p w14:paraId="0B082F6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5,396</w:t>
            </w:r>
          </w:p>
        </w:tc>
        <w:tc>
          <w:tcPr>
            <w:tcW w:w="719" w:type="dxa"/>
            <w:tcBorders>
              <w:top w:val="nil"/>
              <w:left w:val="nil"/>
              <w:bottom w:val="nil"/>
              <w:right w:val="nil"/>
            </w:tcBorders>
            <w:shd w:val="clear" w:color="auto" w:fill="auto"/>
            <w:noWrap/>
            <w:vAlign w:val="bottom"/>
            <w:hideMark/>
          </w:tcPr>
          <w:p w14:paraId="540EF47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3,212</w:t>
            </w:r>
          </w:p>
        </w:tc>
        <w:tc>
          <w:tcPr>
            <w:tcW w:w="680" w:type="dxa"/>
            <w:tcBorders>
              <w:top w:val="nil"/>
              <w:left w:val="nil"/>
              <w:bottom w:val="nil"/>
              <w:right w:val="nil"/>
            </w:tcBorders>
            <w:shd w:val="clear" w:color="000000" w:fill="FFFFFF"/>
            <w:noWrap/>
            <w:vAlign w:val="bottom"/>
            <w:hideMark/>
          </w:tcPr>
          <w:p w14:paraId="5CC5F4C3"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2,393</w:t>
            </w:r>
          </w:p>
        </w:tc>
        <w:tc>
          <w:tcPr>
            <w:tcW w:w="719" w:type="dxa"/>
            <w:tcBorders>
              <w:top w:val="nil"/>
              <w:left w:val="nil"/>
              <w:bottom w:val="nil"/>
              <w:right w:val="nil"/>
            </w:tcBorders>
            <w:shd w:val="clear" w:color="000000" w:fill="FFFFFF"/>
            <w:noWrap/>
            <w:vAlign w:val="bottom"/>
            <w:hideMark/>
          </w:tcPr>
          <w:p w14:paraId="314BD420"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876</w:t>
            </w:r>
          </w:p>
        </w:tc>
      </w:tr>
      <w:tr w:rsidR="009A5001" w:rsidRPr="009A5001" w14:paraId="44C2BB04" w14:textId="77777777" w:rsidTr="003C3BD1">
        <w:trPr>
          <w:trHeight w:val="348"/>
        </w:trPr>
        <w:tc>
          <w:tcPr>
            <w:tcW w:w="1020" w:type="dxa"/>
            <w:tcBorders>
              <w:top w:val="nil"/>
              <w:left w:val="nil"/>
              <w:bottom w:val="nil"/>
              <w:right w:val="nil"/>
            </w:tcBorders>
            <w:shd w:val="clear" w:color="auto" w:fill="auto"/>
            <w:noWrap/>
            <w:vAlign w:val="bottom"/>
            <w:hideMark/>
          </w:tcPr>
          <w:p w14:paraId="6C100085"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w:t>
            </w:r>
          </w:p>
        </w:tc>
        <w:tc>
          <w:tcPr>
            <w:tcW w:w="680" w:type="dxa"/>
            <w:tcBorders>
              <w:top w:val="nil"/>
              <w:left w:val="nil"/>
              <w:bottom w:val="nil"/>
              <w:right w:val="nil"/>
            </w:tcBorders>
            <w:shd w:val="clear" w:color="auto" w:fill="auto"/>
            <w:noWrap/>
            <w:vAlign w:val="bottom"/>
            <w:hideMark/>
          </w:tcPr>
          <w:p w14:paraId="3CF0DCB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684</w:t>
            </w:r>
          </w:p>
        </w:tc>
        <w:tc>
          <w:tcPr>
            <w:tcW w:w="719" w:type="dxa"/>
            <w:tcBorders>
              <w:top w:val="nil"/>
              <w:left w:val="nil"/>
              <w:bottom w:val="nil"/>
              <w:right w:val="nil"/>
            </w:tcBorders>
            <w:shd w:val="clear" w:color="auto" w:fill="auto"/>
            <w:noWrap/>
            <w:vAlign w:val="bottom"/>
            <w:hideMark/>
          </w:tcPr>
          <w:p w14:paraId="7F4F14D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w:t>
            </w:r>
          </w:p>
        </w:tc>
        <w:tc>
          <w:tcPr>
            <w:tcW w:w="680" w:type="dxa"/>
            <w:tcBorders>
              <w:top w:val="nil"/>
              <w:left w:val="nil"/>
              <w:bottom w:val="nil"/>
              <w:right w:val="nil"/>
            </w:tcBorders>
            <w:shd w:val="clear" w:color="auto" w:fill="auto"/>
            <w:noWrap/>
            <w:vAlign w:val="bottom"/>
            <w:hideMark/>
          </w:tcPr>
          <w:p w14:paraId="17DF723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347</w:t>
            </w:r>
          </w:p>
        </w:tc>
        <w:tc>
          <w:tcPr>
            <w:tcW w:w="719" w:type="dxa"/>
            <w:tcBorders>
              <w:top w:val="nil"/>
              <w:left w:val="nil"/>
              <w:bottom w:val="nil"/>
              <w:right w:val="nil"/>
            </w:tcBorders>
            <w:shd w:val="clear" w:color="auto" w:fill="auto"/>
            <w:noWrap/>
            <w:vAlign w:val="bottom"/>
            <w:hideMark/>
          </w:tcPr>
          <w:p w14:paraId="722CA5D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w:t>
            </w:r>
          </w:p>
        </w:tc>
        <w:tc>
          <w:tcPr>
            <w:tcW w:w="680" w:type="dxa"/>
            <w:tcBorders>
              <w:top w:val="nil"/>
              <w:left w:val="nil"/>
              <w:bottom w:val="nil"/>
              <w:right w:val="nil"/>
            </w:tcBorders>
            <w:shd w:val="clear" w:color="auto" w:fill="auto"/>
            <w:noWrap/>
            <w:vAlign w:val="bottom"/>
            <w:hideMark/>
          </w:tcPr>
          <w:p w14:paraId="35E2A2A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946</w:t>
            </w:r>
          </w:p>
        </w:tc>
        <w:tc>
          <w:tcPr>
            <w:tcW w:w="719" w:type="dxa"/>
            <w:tcBorders>
              <w:top w:val="nil"/>
              <w:left w:val="nil"/>
              <w:bottom w:val="nil"/>
              <w:right w:val="nil"/>
            </w:tcBorders>
            <w:shd w:val="clear" w:color="auto" w:fill="auto"/>
            <w:noWrap/>
            <w:vAlign w:val="bottom"/>
            <w:hideMark/>
          </w:tcPr>
          <w:p w14:paraId="528715E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238</w:t>
            </w:r>
          </w:p>
        </w:tc>
        <w:tc>
          <w:tcPr>
            <w:tcW w:w="680" w:type="dxa"/>
            <w:tcBorders>
              <w:top w:val="nil"/>
              <w:left w:val="nil"/>
              <w:bottom w:val="nil"/>
              <w:right w:val="nil"/>
            </w:tcBorders>
            <w:shd w:val="clear" w:color="auto" w:fill="auto"/>
            <w:noWrap/>
            <w:vAlign w:val="bottom"/>
            <w:hideMark/>
          </w:tcPr>
          <w:p w14:paraId="2360C11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1,205</w:t>
            </w:r>
          </w:p>
        </w:tc>
        <w:tc>
          <w:tcPr>
            <w:tcW w:w="719" w:type="dxa"/>
            <w:tcBorders>
              <w:top w:val="nil"/>
              <w:left w:val="nil"/>
              <w:bottom w:val="nil"/>
              <w:right w:val="nil"/>
            </w:tcBorders>
            <w:shd w:val="clear" w:color="auto" w:fill="auto"/>
            <w:noWrap/>
            <w:vAlign w:val="bottom"/>
            <w:hideMark/>
          </w:tcPr>
          <w:p w14:paraId="51DD998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1,019</w:t>
            </w:r>
          </w:p>
        </w:tc>
        <w:tc>
          <w:tcPr>
            <w:tcW w:w="680" w:type="dxa"/>
            <w:tcBorders>
              <w:top w:val="nil"/>
              <w:left w:val="nil"/>
              <w:bottom w:val="nil"/>
              <w:right w:val="nil"/>
            </w:tcBorders>
            <w:shd w:val="clear" w:color="auto" w:fill="auto"/>
            <w:noWrap/>
            <w:vAlign w:val="bottom"/>
            <w:hideMark/>
          </w:tcPr>
          <w:p w14:paraId="3D58A78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1,791</w:t>
            </w:r>
          </w:p>
        </w:tc>
        <w:tc>
          <w:tcPr>
            <w:tcW w:w="719" w:type="dxa"/>
            <w:tcBorders>
              <w:top w:val="nil"/>
              <w:left w:val="nil"/>
              <w:bottom w:val="nil"/>
              <w:right w:val="nil"/>
            </w:tcBorders>
            <w:shd w:val="clear" w:color="auto" w:fill="auto"/>
            <w:noWrap/>
            <w:vAlign w:val="bottom"/>
            <w:hideMark/>
          </w:tcPr>
          <w:p w14:paraId="0D1F3F0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2,223</w:t>
            </w:r>
          </w:p>
        </w:tc>
        <w:tc>
          <w:tcPr>
            <w:tcW w:w="680" w:type="dxa"/>
            <w:tcBorders>
              <w:top w:val="nil"/>
              <w:left w:val="nil"/>
              <w:bottom w:val="nil"/>
              <w:right w:val="nil"/>
            </w:tcBorders>
            <w:shd w:val="clear" w:color="auto" w:fill="auto"/>
            <w:noWrap/>
            <w:vAlign w:val="bottom"/>
            <w:hideMark/>
          </w:tcPr>
          <w:p w14:paraId="02C0F13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3,189</w:t>
            </w:r>
          </w:p>
        </w:tc>
        <w:tc>
          <w:tcPr>
            <w:tcW w:w="719" w:type="dxa"/>
            <w:tcBorders>
              <w:top w:val="nil"/>
              <w:left w:val="nil"/>
              <w:bottom w:val="nil"/>
              <w:right w:val="nil"/>
            </w:tcBorders>
            <w:shd w:val="clear" w:color="auto" w:fill="auto"/>
            <w:noWrap/>
            <w:vAlign w:val="bottom"/>
            <w:hideMark/>
          </w:tcPr>
          <w:p w14:paraId="3EF29B6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3,812</w:t>
            </w:r>
          </w:p>
        </w:tc>
        <w:tc>
          <w:tcPr>
            <w:tcW w:w="680" w:type="dxa"/>
            <w:tcBorders>
              <w:top w:val="nil"/>
              <w:left w:val="nil"/>
              <w:bottom w:val="nil"/>
              <w:right w:val="nil"/>
            </w:tcBorders>
            <w:shd w:val="clear" w:color="auto" w:fill="auto"/>
            <w:noWrap/>
            <w:vAlign w:val="bottom"/>
            <w:hideMark/>
          </w:tcPr>
          <w:p w14:paraId="7C3FAE4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4,936</w:t>
            </w:r>
          </w:p>
        </w:tc>
        <w:tc>
          <w:tcPr>
            <w:tcW w:w="719" w:type="dxa"/>
            <w:tcBorders>
              <w:top w:val="nil"/>
              <w:left w:val="nil"/>
              <w:bottom w:val="nil"/>
              <w:right w:val="nil"/>
            </w:tcBorders>
            <w:shd w:val="clear" w:color="auto" w:fill="auto"/>
            <w:noWrap/>
            <w:vAlign w:val="bottom"/>
            <w:hideMark/>
          </w:tcPr>
          <w:p w14:paraId="320CF88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5,934</w:t>
            </w:r>
          </w:p>
        </w:tc>
        <w:tc>
          <w:tcPr>
            <w:tcW w:w="680" w:type="dxa"/>
            <w:tcBorders>
              <w:top w:val="nil"/>
              <w:left w:val="nil"/>
              <w:bottom w:val="nil"/>
              <w:right w:val="nil"/>
            </w:tcBorders>
            <w:shd w:val="clear" w:color="auto" w:fill="auto"/>
            <w:noWrap/>
            <w:vAlign w:val="bottom"/>
            <w:hideMark/>
          </w:tcPr>
          <w:p w14:paraId="36A7829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5,640</w:t>
            </w:r>
          </w:p>
        </w:tc>
        <w:tc>
          <w:tcPr>
            <w:tcW w:w="719" w:type="dxa"/>
            <w:tcBorders>
              <w:top w:val="nil"/>
              <w:left w:val="nil"/>
              <w:bottom w:val="nil"/>
              <w:right w:val="nil"/>
            </w:tcBorders>
            <w:shd w:val="clear" w:color="auto" w:fill="auto"/>
            <w:noWrap/>
            <w:vAlign w:val="bottom"/>
            <w:hideMark/>
          </w:tcPr>
          <w:p w14:paraId="534A17D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5,798</w:t>
            </w:r>
          </w:p>
        </w:tc>
        <w:tc>
          <w:tcPr>
            <w:tcW w:w="680" w:type="dxa"/>
            <w:tcBorders>
              <w:top w:val="nil"/>
              <w:left w:val="nil"/>
              <w:bottom w:val="nil"/>
              <w:right w:val="nil"/>
            </w:tcBorders>
            <w:shd w:val="clear" w:color="auto" w:fill="auto"/>
            <w:noWrap/>
            <w:vAlign w:val="bottom"/>
            <w:hideMark/>
          </w:tcPr>
          <w:p w14:paraId="5C80D73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5,127</w:t>
            </w:r>
          </w:p>
        </w:tc>
        <w:tc>
          <w:tcPr>
            <w:tcW w:w="719" w:type="dxa"/>
            <w:tcBorders>
              <w:top w:val="nil"/>
              <w:left w:val="nil"/>
              <w:bottom w:val="nil"/>
              <w:right w:val="nil"/>
            </w:tcBorders>
            <w:shd w:val="clear" w:color="auto" w:fill="auto"/>
            <w:noWrap/>
            <w:vAlign w:val="bottom"/>
            <w:hideMark/>
          </w:tcPr>
          <w:p w14:paraId="55CE13F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3,384</w:t>
            </w:r>
          </w:p>
        </w:tc>
        <w:tc>
          <w:tcPr>
            <w:tcW w:w="680" w:type="dxa"/>
            <w:tcBorders>
              <w:top w:val="nil"/>
              <w:left w:val="nil"/>
              <w:bottom w:val="nil"/>
              <w:right w:val="nil"/>
            </w:tcBorders>
            <w:shd w:val="clear" w:color="000000" w:fill="FFFFFF"/>
            <w:noWrap/>
            <w:vAlign w:val="bottom"/>
            <w:hideMark/>
          </w:tcPr>
          <w:p w14:paraId="5DE14F56"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2,389</w:t>
            </w:r>
          </w:p>
        </w:tc>
        <w:tc>
          <w:tcPr>
            <w:tcW w:w="719" w:type="dxa"/>
            <w:tcBorders>
              <w:top w:val="nil"/>
              <w:left w:val="nil"/>
              <w:bottom w:val="nil"/>
              <w:right w:val="nil"/>
            </w:tcBorders>
            <w:shd w:val="clear" w:color="000000" w:fill="FFFFFF"/>
            <w:noWrap/>
            <w:vAlign w:val="bottom"/>
            <w:hideMark/>
          </w:tcPr>
          <w:p w14:paraId="27AD7734"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764</w:t>
            </w:r>
          </w:p>
        </w:tc>
      </w:tr>
      <w:tr w:rsidR="009A5001" w:rsidRPr="009A5001" w14:paraId="658B2111" w14:textId="77777777" w:rsidTr="003C3BD1">
        <w:trPr>
          <w:trHeight w:val="348"/>
        </w:trPr>
        <w:tc>
          <w:tcPr>
            <w:tcW w:w="1020" w:type="dxa"/>
            <w:tcBorders>
              <w:top w:val="nil"/>
              <w:left w:val="nil"/>
              <w:bottom w:val="nil"/>
              <w:right w:val="nil"/>
            </w:tcBorders>
            <w:shd w:val="clear" w:color="auto" w:fill="auto"/>
            <w:noWrap/>
            <w:vAlign w:val="bottom"/>
            <w:hideMark/>
          </w:tcPr>
          <w:p w14:paraId="7D8D59F9"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13</w:t>
            </w:r>
          </w:p>
        </w:tc>
        <w:tc>
          <w:tcPr>
            <w:tcW w:w="680" w:type="dxa"/>
            <w:tcBorders>
              <w:top w:val="nil"/>
              <w:left w:val="nil"/>
              <w:bottom w:val="nil"/>
              <w:right w:val="nil"/>
            </w:tcBorders>
            <w:shd w:val="clear" w:color="auto" w:fill="auto"/>
            <w:noWrap/>
            <w:vAlign w:val="bottom"/>
            <w:hideMark/>
          </w:tcPr>
          <w:p w14:paraId="32C1974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639</w:t>
            </w:r>
          </w:p>
        </w:tc>
        <w:tc>
          <w:tcPr>
            <w:tcW w:w="719" w:type="dxa"/>
            <w:tcBorders>
              <w:top w:val="nil"/>
              <w:left w:val="nil"/>
              <w:bottom w:val="nil"/>
              <w:right w:val="nil"/>
            </w:tcBorders>
            <w:shd w:val="clear" w:color="auto" w:fill="auto"/>
            <w:noWrap/>
            <w:vAlign w:val="bottom"/>
            <w:hideMark/>
          </w:tcPr>
          <w:p w14:paraId="47D52EF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25</w:t>
            </w:r>
          </w:p>
        </w:tc>
        <w:tc>
          <w:tcPr>
            <w:tcW w:w="680" w:type="dxa"/>
            <w:tcBorders>
              <w:top w:val="nil"/>
              <w:left w:val="nil"/>
              <w:bottom w:val="nil"/>
              <w:right w:val="nil"/>
            </w:tcBorders>
            <w:shd w:val="clear" w:color="auto" w:fill="auto"/>
            <w:noWrap/>
            <w:vAlign w:val="bottom"/>
            <w:hideMark/>
          </w:tcPr>
          <w:p w14:paraId="5877D86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324</w:t>
            </w:r>
          </w:p>
        </w:tc>
        <w:tc>
          <w:tcPr>
            <w:tcW w:w="719" w:type="dxa"/>
            <w:tcBorders>
              <w:top w:val="nil"/>
              <w:left w:val="nil"/>
              <w:bottom w:val="nil"/>
              <w:right w:val="nil"/>
            </w:tcBorders>
            <w:shd w:val="clear" w:color="auto" w:fill="auto"/>
            <w:noWrap/>
            <w:vAlign w:val="bottom"/>
            <w:hideMark/>
          </w:tcPr>
          <w:p w14:paraId="08B6C2D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26</w:t>
            </w:r>
          </w:p>
        </w:tc>
        <w:tc>
          <w:tcPr>
            <w:tcW w:w="680" w:type="dxa"/>
            <w:tcBorders>
              <w:top w:val="nil"/>
              <w:left w:val="nil"/>
              <w:bottom w:val="nil"/>
              <w:right w:val="nil"/>
            </w:tcBorders>
            <w:shd w:val="clear" w:color="auto" w:fill="auto"/>
            <w:noWrap/>
            <w:vAlign w:val="bottom"/>
            <w:hideMark/>
          </w:tcPr>
          <w:p w14:paraId="665E560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866</w:t>
            </w:r>
          </w:p>
        </w:tc>
        <w:tc>
          <w:tcPr>
            <w:tcW w:w="719" w:type="dxa"/>
            <w:tcBorders>
              <w:top w:val="nil"/>
              <w:left w:val="nil"/>
              <w:bottom w:val="nil"/>
              <w:right w:val="nil"/>
            </w:tcBorders>
            <w:shd w:val="clear" w:color="auto" w:fill="auto"/>
            <w:noWrap/>
            <w:vAlign w:val="bottom"/>
            <w:hideMark/>
          </w:tcPr>
          <w:p w14:paraId="4C1717C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266</w:t>
            </w:r>
          </w:p>
        </w:tc>
        <w:tc>
          <w:tcPr>
            <w:tcW w:w="680" w:type="dxa"/>
            <w:tcBorders>
              <w:top w:val="nil"/>
              <w:left w:val="nil"/>
              <w:bottom w:val="nil"/>
              <w:right w:val="nil"/>
            </w:tcBorders>
            <w:shd w:val="clear" w:color="auto" w:fill="auto"/>
            <w:noWrap/>
            <w:vAlign w:val="bottom"/>
            <w:hideMark/>
          </w:tcPr>
          <w:p w14:paraId="2CF8AB0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1,152</w:t>
            </w:r>
          </w:p>
        </w:tc>
        <w:tc>
          <w:tcPr>
            <w:tcW w:w="719" w:type="dxa"/>
            <w:tcBorders>
              <w:top w:val="nil"/>
              <w:left w:val="nil"/>
              <w:bottom w:val="nil"/>
              <w:right w:val="nil"/>
            </w:tcBorders>
            <w:shd w:val="clear" w:color="auto" w:fill="auto"/>
            <w:noWrap/>
            <w:vAlign w:val="bottom"/>
            <w:hideMark/>
          </w:tcPr>
          <w:p w14:paraId="5AC4FA3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1,029</w:t>
            </w:r>
          </w:p>
        </w:tc>
        <w:tc>
          <w:tcPr>
            <w:tcW w:w="680" w:type="dxa"/>
            <w:tcBorders>
              <w:top w:val="nil"/>
              <w:left w:val="nil"/>
              <w:bottom w:val="nil"/>
              <w:right w:val="nil"/>
            </w:tcBorders>
            <w:shd w:val="clear" w:color="auto" w:fill="auto"/>
            <w:noWrap/>
            <w:vAlign w:val="bottom"/>
            <w:hideMark/>
          </w:tcPr>
          <w:p w14:paraId="51BEDF7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1,873</w:t>
            </w:r>
          </w:p>
        </w:tc>
        <w:tc>
          <w:tcPr>
            <w:tcW w:w="719" w:type="dxa"/>
            <w:tcBorders>
              <w:top w:val="nil"/>
              <w:left w:val="nil"/>
              <w:bottom w:val="nil"/>
              <w:right w:val="nil"/>
            </w:tcBorders>
            <w:shd w:val="clear" w:color="auto" w:fill="auto"/>
            <w:noWrap/>
            <w:vAlign w:val="bottom"/>
            <w:hideMark/>
          </w:tcPr>
          <w:p w14:paraId="228F1AB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2,323</w:t>
            </w:r>
          </w:p>
        </w:tc>
        <w:tc>
          <w:tcPr>
            <w:tcW w:w="680" w:type="dxa"/>
            <w:tcBorders>
              <w:top w:val="nil"/>
              <w:left w:val="nil"/>
              <w:bottom w:val="nil"/>
              <w:right w:val="nil"/>
            </w:tcBorders>
            <w:shd w:val="clear" w:color="auto" w:fill="auto"/>
            <w:noWrap/>
            <w:vAlign w:val="bottom"/>
            <w:hideMark/>
          </w:tcPr>
          <w:p w14:paraId="6700B37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3,023</w:t>
            </w:r>
          </w:p>
        </w:tc>
        <w:tc>
          <w:tcPr>
            <w:tcW w:w="719" w:type="dxa"/>
            <w:tcBorders>
              <w:top w:val="nil"/>
              <w:left w:val="nil"/>
              <w:bottom w:val="nil"/>
              <w:right w:val="nil"/>
            </w:tcBorders>
            <w:shd w:val="clear" w:color="auto" w:fill="auto"/>
            <w:noWrap/>
            <w:vAlign w:val="bottom"/>
            <w:hideMark/>
          </w:tcPr>
          <w:p w14:paraId="20F11BD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3,932</w:t>
            </w:r>
          </w:p>
        </w:tc>
        <w:tc>
          <w:tcPr>
            <w:tcW w:w="680" w:type="dxa"/>
            <w:tcBorders>
              <w:top w:val="nil"/>
              <w:left w:val="nil"/>
              <w:bottom w:val="nil"/>
              <w:right w:val="nil"/>
            </w:tcBorders>
            <w:shd w:val="clear" w:color="auto" w:fill="auto"/>
            <w:noWrap/>
            <w:vAlign w:val="bottom"/>
            <w:hideMark/>
          </w:tcPr>
          <w:p w14:paraId="5CC6EC5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4,615</w:t>
            </w:r>
          </w:p>
        </w:tc>
        <w:tc>
          <w:tcPr>
            <w:tcW w:w="719" w:type="dxa"/>
            <w:tcBorders>
              <w:top w:val="nil"/>
              <w:left w:val="nil"/>
              <w:bottom w:val="nil"/>
              <w:right w:val="nil"/>
            </w:tcBorders>
            <w:shd w:val="clear" w:color="auto" w:fill="auto"/>
            <w:noWrap/>
            <w:vAlign w:val="bottom"/>
            <w:hideMark/>
          </w:tcPr>
          <w:p w14:paraId="5666880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6,147</w:t>
            </w:r>
          </w:p>
        </w:tc>
        <w:tc>
          <w:tcPr>
            <w:tcW w:w="680" w:type="dxa"/>
            <w:tcBorders>
              <w:top w:val="nil"/>
              <w:left w:val="nil"/>
              <w:bottom w:val="nil"/>
              <w:right w:val="nil"/>
            </w:tcBorders>
            <w:shd w:val="clear" w:color="auto" w:fill="auto"/>
            <w:noWrap/>
            <w:vAlign w:val="bottom"/>
            <w:hideMark/>
          </w:tcPr>
          <w:p w14:paraId="367D18A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5,506</w:t>
            </w:r>
          </w:p>
        </w:tc>
        <w:tc>
          <w:tcPr>
            <w:tcW w:w="719" w:type="dxa"/>
            <w:tcBorders>
              <w:top w:val="nil"/>
              <w:left w:val="nil"/>
              <w:bottom w:val="nil"/>
              <w:right w:val="nil"/>
            </w:tcBorders>
            <w:shd w:val="clear" w:color="auto" w:fill="auto"/>
            <w:noWrap/>
            <w:vAlign w:val="bottom"/>
            <w:hideMark/>
          </w:tcPr>
          <w:p w14:paraId="7827D3F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5,879</w:t>
            </w:r>
          </w:p>
        </w:tc>
        <w:tc>
          <w:tcPr>
            <w:tcW w:w="680" w:type="dxa"/>
            <w:tcBorders>
              <w:top w:val="nil"/>
              <w:left w:val="nil"/>
              <w:bottom w:val="nil"/>
              <w:right w:val="nil"/>
            </w:tcBorders>
            <w:shd w:val="clear" w:color="auto" w:fill="auto"/>
            <w:noWrap/>
            <w:vAlign w:val="bottom"/>
            <w:hideMark/>
          </w:tcPr>
          <w:p w14:paraId="2AFCDE3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4,865</w:t>
            </w:r>
          </w:p>
        </w:tc>
        <w:tc>
          <w:tcPr>
            <w:tcW w:w="719" w:type="dxa"/>
            <w:tcBorders>
              <w:top w:val="nil"/>
              <w:left w:val="nil"/>
              <w:bottom w:val="nil"/>
              <w:right w:val="nil"/>
            </w:tcBorders>
            <w:shd w:val="clear" w:color="auto" w:fill="auto"/>
            <w:noWrap/>
            <w:vAlign w:val="bottom"/>
            <w:hideMark/>
          </w:tcPr>
          <w:p w14:paraId="41E5B22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2,818</w:t>
            </w:r>
          </w:p>
        </w:tc>
        <w:tc>
          <w:tcPr>
            <w:tcW w:w="680" w:type="dxa"/>
            <w:tcBorders>
              <w:top w:val="nil"/>
              <w:left w:val="nil"/>
              <w:bottom w:val="nil"/>
              <w:right w:val="nil"/>
            </w:tcBorders>
            <w:shd w:val="clear" w:color="000000" w:fill="FFFFFF"/>
            <w:noWrap/>
            <w:vAlign w:val="bottom"/>
            <w:hideMark/>
          </w:tcPr>
          <w:p w14:paraId="23EF8723"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2,262</w:t>
            </w:r>
          </w:p>
        </w:tc>
        <w:tc>
          <w:tcPr>
            <w:tcW w:w="719" w:type="dxa"/>
            <w:tcBorders>
              <w:top w:val="nil"/>
              <w:left w:val="nil"/>
              <w:bottom w:val="nil"/>
              <w:right w:val="nil"/>
            </w:tcBorders>
            <w:shd w:val="clear" w:color="000000" w:fill="FFFFFF"/>
            <w:noWrap/>
            <w:vAlign w:val="bottom"/>
            <w:hideMark/>
          </w:tcPr>
          <w:p w14:paraId="372019D0"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680</w:t>
            </w:r>
          </w:p>
        </w:tc>
      </w:tr>
      <w:tr w:rsidR="009A5001" w:rsidRPr="009A5001" w14:paraId="5CE77E4C" w14:textId="77777777" w:rsidTr="003C3BD1">
        <w:trPr>
          <w:trHeight w:val="348"/>
        </w:trPr>
        <w:tc>
          <w:tcPr>
            <w:tcW w:w="1020" w:type="dxa"/>
            <w:tcBorders>
              <w:top w:val="nil"/>
              <w:left w:val="nil"/>
              <w:bottom w:val="nil"/>
              <w:right w:val="nil"/>
            </w:tcBorders>
            <w:shd w:val="clear" w:color="auto" w:fill="auto"/>
            <w:noWrap/>
            <w:vAlign w:val="bottom"/>
            <w:hideMark/>
          </w:tcPr>
          <w:p w14:paraId="25808795"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14</w:t>
            </w:r>
          </w:p>
        </w:tc>
        <w:tc>
          <w:tcPr>
            <w:tcW w:w="680" w:type="dxa"/>
            <w:tcBorders>
              <w:top w:val="nil"/>
              <w:left w:val="nil"/>
              <w:bottom w:val="nil"/>
              <w:right w:val="nil"/>
            </w:tcBorders>
            <w:shd w:val="clear" w:color="auto" w:fill="auto"/>
            <w:noWrap/>
            <w:vAlign w:val="bottom"/>
            <w:hideMark/>
          </w:tcPr>
          <w:p w14:paraId="4EDE230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641</w:t>
            </w:r>
          </w:p>
        </w:tc>
        <w:tc>
          <w:tcPr>
            <w:tcW w:w="719" w:type="dxa"/>
            <w:tcBorders>
              <w:top w:val="nil"/>
              <w:left w:val="nil"/>
              <w:bottom w:val="nil"/>
              <w:right w:val="nil"/>
            </w:tcBorders>
            <w:shd w:val="clear" w:color="auto" w:fill="auto"/>
            <w:noWrap/>
            <w:vAlign w:val="bottom"/>
            <w:hideMark/>
          </w:tcPr>
          <w:p w14:paraId="3AF219A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w:t>
            </w:r>
          </w:p>
        </w:tc>
        <w:tc>
          <w:tcPr>
            <w:tcW w:w="680" w:type="dxa"/>
            <w:tcBorders>
              <w:top w:val="nil"/>
              <w:left w:val="nil"/>
              <w:bottom w:val="nil"/>
              <w:right w:val="nil"/>
            </w:tcBorders>
            <w:shd w:val="clear" w:color="auto" w:fill="auto"/>
            <w:noWrap/>
            <w:vAlign w:val="bottom"/>
            <w:hideMark/>
          </w:tcPr>
          <w:p w14:paraId="74CF2DA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308</w:t>
            </w:r>
          </w:p>
        </w:tc>
        <w:tc>
          <w:tcPr>
            <w:tcW w:w="719" w:type="dxa"/>
            <w:tcBorders>
              <w:top w:val="nil"/>
              <w:left w:val="nil"/>
              <w:bottom w:val="nil"/>
              <w:right w:val="nil"/>
            </w:tcBorders>
            <w:shd w:val="clear" w:color="auto" w:fill="auto"/>
            <w:noWrap/>
            <w:vAlign w:val="bottom"/>
            <w:hideMark/>
          </w:tcPr>
          <w:p w14:paraId="4B164D0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27</w:t>
            </w:r>
          </w:p>
        </w:tc>
        <w:tc>
          <w:tcPr>
            <w:tcW w:w="680" w:type="dxa"/>
            <w:tcBorders>
              <w:top w:val="nil"/>
              <w:left w:val="nil"/>
              <w:bottom w:val="nil"/>
              <w:right w:val="nil"/>
            </w:tcBorders>
            <w:shd w:val="clear" w:color="auto" w:fill="auto"/>
            <w:noWrap/>
            <w:vAlign w:val="bottom"/>
            <w:hideMark/>
          </w:tcPr>
          <w:p w14:paraId="31961A2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835</w:t>
            </w:r>
          </w:p>
        </w:tc>
        <w:tc>
          <w:tcPr>
            <w:tcW w:w="719" w:type="dxa"/>
            <w:tcBorders>
              <w:top w:val="nil"/>
              <w:left w:val="nil"/>
              <w:bottom w:val="nil"/>
              <w:right w:val="nil"/>
            </w:tcBorders>
            <w:shd w:val="clear" w:color="auto" w:fill="auto"/>
            <w:noWrap/>
            <w:vAlign w:val="bottom"/>
            <w:hideMark/>
          </w:tcPr>
          <w:p w14:paraId="66751EE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243</w:t>
            </w:r>
          </w:p>
        </w:tc>
        <w:tc>
          <w:tcPr>
            <w:tcW w:w="680" w:type="dxa"/>
            <w:tcBorders>
              <w:top w:val="nil"/>
              <w:left w:val="nil"/>
              <w:bottom w:val="nil"/>
              <w:right w:val="nil"/>
            </w:tcBorders>
            <w:shd w:val="clear" w:color="auto" w:fill="auto"/>
            <w:noWrap/>
            <w:vAlign w:val="bottom"/>
            <w:hideMark/>
          </w:tcPr>
          <w:p w14:paraId="362E951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1,097</w:t>
            </w:r>
          </w:p>
        </w:tc>
        <w:tc>
          <w:tcPr>
            <w:tcW w:w="719" w:type="dxa"/>
            <w:tcBorders>
              <w:top w:val="nil"/>
              <w:left w:val="nil"/>
              <w:bottom w:val="nil"/>
              <w:right w:val="nil"/>
            </w:tcBorders>
            <w:shd w:val="clear" w:color="auto" w:fill="auto"/>
            <w:noWrap/>
            <w:vAlign w:val="bottom"/>
            <w:hideMark/>
          </w:tcPr>
          <w:p w14:paraId="341AC77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960</w:t>
            </w:r>
          </w:p>
        </w:tc>
        <w:tc>
          <w:tcPr>
            <w:tcW w:w="680" w:type="dxa"/>
            <w:tcBorders>
              <w:top w:val="nil"/>
              <w:left w:val="nil"/>
              <w:bottom w:val="nil"/>
              <w:right w:val="nil"/>
            </w:tcBorders>
            <w:shd w:val="clear" w:color="auto" w:fill="auto"/>
            <w:noWrap/>
            <w:vAlign w:val="bottom"/>
            <w:hideMark/>
          </w:tcPr>
          <w:p w14:paraId="0263AD0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1,777</w:t>
            </w:r>
          </w:p>
        </w:tc>
        <w:tc>
          <w:tcPr>
            <w:tcW w:w="719" w:type="dxa"/>
            <w:tcBorders>
              <w:top w:val="nil"/>
              <w:left w:val="nil"/>
              <w:bottom w:val="nil"/>
              <w:right w:val="nil"/>
            </w:tcBorders>
            <w:shd w:val="clear" w:color="auto" w:fill="auto"/>
            <w:noWrap/>
            <w:vAlign w:val="bottom"/>
            <w:hideMark/>
          </w:tcPr>
          <w:p w14:paraId="44F0A16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2,064</w:t>
            </w:r>
          </w:p>
        </w:tc>
        <w:tc>
          <w:tcPr>
            <w:tcW w:w="680" w:type="dxa"/>
            <w:tcBorders>
              <w:top w:val="nil"/>
              <w:left w:val="nil"/>
              <w:bottom w:val="nil"/>
              <w:right w:val="nil"/>
            </w:tcBorders>
            <w:shd w:val="clear" w:color="auto" w:fill="auto"/>
            <w:noWrap/>
            <w:vAlign w:val="bottom"/>
            <w:hideMark/>
          </w:tcPr>
          <w:p w14:paraId="5E6BF1E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2,780</w:t>
            </w:r>
          </w:p>
        </w:tc>
        <w:tc>
          <w:tcPr>
            <w:tcW w:w="719" w:type="dxa"/>
            <w:tcBorders>
              <w:top w:val="nil"/>
              <w:left w:val="nil"/>
              <w:bottom w:val="nil"/>
              <w:right w:val="nil"/>
            </w:tcBorders>
            <w:shd w:val="clear" w:color="auto" w:fill="auto"/>
            <w:noWrap/>
            <w:vAlign w:val="bottom"/>
            <w:hideMark/>
          </w:tcPr>
          <w:p w14:paraId="6E2C692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3,718</w:t>
            </w:r>
          </w:p>
        </w:tc>
        <w:tc>
          <w:tcPr>
            <w:tcW w:w="680" w:type="dxa"/>
            <w:tcBorders>
              <w:top w:val="nil"/>
              <w:left w:val="nil"/>
              <w:bottom w:val="nil"/>
              <w:right w:val="nil"/>
            </w:tcBorders>
            <w:shd w:val="clear" w:color="auto" w:fill="auto"/>
            <w:noWrap/>
            <w:vAlign w:val="bottom"/>
            <w:hideMark/>
          </w:tcPr>
          <w:p w14:paraId="38CB2AD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4,399</w:t>
            </w:r>
          </w:p>
        </w:tc>
        <w:tc>
          <w:tcPr>
            <w:tcW w:w="719" w:type="dxa"/>
            <w:tcBorders>
              <w:top w:val="nil"/>
              <w:left w:val="nil"/>
              <w:bottom w:val="nil"/>
              <w:right w:val="nil"/>
            </w:tcBorders>
            <w:shd w:val="clear" w:color="auto" w:fill="auto"/>
            <w:noWrap/>
            <w:vAlign w:val="bottom"/>
            <w:hideMark/>
          </w:tcPr>
          <w:p w14:paraId="6537C8D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5,573</w:t>
            </w:r>
          </w:p>
        </w:tc>
        <w:tc>
          <w:tcPr>
            <w:tcW w:w="680" w:type="dxa"/>
            <w:tcBorders>
              <w:top w:val="nil"/>
              <w:left w:val="nil"/>
              <w:bottom w:val="nil"/>
              <w:right w:val="nil"/>
            </w:tcBorders>
            <w:shd w:val="clear" w:color="auto" w:fill="auto"/>
            <w:noWrap/>
            <w:vAlign w:val="bottom"/>
            <w:hideMark/>
          </w:tcPr>
          <w:p w14:paraId="282072D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5,041</w:t>
            </w:r>
          </w:p>
        </w:tc>
        <w:tc>
          <w:tcPr>
            <w:tcW w:w="719" w:type="dxa"/>
            <w:tcBorders>
              <w:top w:val="nil"/>
              <w:left w:val="nil"/>
              <w:bottom w:val="nil"/>
              <w:right w:val="nil"/>
            </w:tcBorders>
            <w:shd w:val="clear" w:color="auto" w:fill="auto"/>
            <w:noWrap/>
            <w:vAlign w:val="bottom"/>
            <w:hideMark/>
          </w:tcPr>
          <w:p w14:paraId="7FE2655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5,156</w:t>
            </w:r>
          </w:p>
        </w:tc>
        <w:tc>
          <w:tcPr>
            <w:tcW w:w="680" w:type="dxa"/>
            <w:tcBorders>
              <w:top w:val="nil"/>
              <w:left w:val="nil"/>
              <w:bottom w:val="nil"/>
              <w:right w:val="nil"/>
            </w:tcBorders>
            <w:shd w:val="clear" w:color="auto" w:fill="auto"/>
            <w:noWrap/>
            <w:vAlign w:val="bottom"/>
            <w:hideMark/>
          </w:tcPr>
          <w:p w14:paraId="2B55ABA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4,421</w:t>
            </w:r>
          </w:p>
        </w:tc>
        <w:tc>
          <w:tcPr>
            <w:tcW w:w="719" w:type="dxa"/>
            <w:tcBorders>
              <w:top w:val="nil"/>
              <w:left w:val="nil"/>
              <w:bottom w:val="nil"/>
              <w:right w:val="nil"/>
            </w:tcBorders>
            <w:shd w:val="clear" w:color="auto" w:fill="auto"/>
            <w:noWrap/>
            <w:vAlign w:val="bottom"/>
            <w:hideMark/>
          </w:tcPr>
          <w:p w14:paraId="10A69CE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2,306</w:t>
            </w:r>
          </w:p>
        </w:tc>
        <w:tc>
          <w:tcPr>
            <w:tcW w:w="680" w:type="dxa"/>
            <w:tcBorders>
              <w:top w:val="nil"/>
              <w:left w:val="nil"/>
              <w:bottom w:val="nil"/>
              <w:right w:val="nil"/>
            </w:tcBorders>
            <w:shd w:val="clear" w:color="000000" w:fill="FFFFFF"/>
            <w:noWrap/>
            <w:vAlign w:val="bottom"/>
            <w:hideMark/>
          </w:tcPr>
          <w:p w14:paraId="62DE1A17"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2,134</w:t>
            </w:r>
          </w:p>
        </w:tc>
        <w:tc>
          <w:tcPr>
            <w:tcW w:w="719" w:type="dxa"/>
            <w:tcBorders>
              <w:top w:val="nil"/>
              <w:left w:val="nil"/>
              <w:bottom w:val="nil"/>
              <w:right w:val="nil"/>
            </w:tcBorders>
            <w:shd w:val="clear" w:color="000000" w:fill="FFFFFF"/>
            <w:noWrap/>
            <w:vAlign w:val="bottom"/>
            <w:hideMark/>
          </w:tcPr>
          <w:p w14:paraId="7D9BCBD4"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539</w:t>
            </w:r>
          </w:p>
        </w:tc>
      </w:tr>
      <w:tr w:rsidR="009A5001" w:rsidRPr="009A5001" w14:paraId="1D0353B9" w14:textId="77777777" w:rsidTr="003C3BD1">
        <w:trPr>
          <w:trHeight w:val="348"/>
        </w:trPr>
        <w:tc>
          <w:tcPr>
            <w:tcW w:w="1020" w:type="dxa"/>
            <w:tcBorders>
              <w:top w:val="nil"/>
              <w:left w:val="nil"/>
              <w:bottom w:val="nil"/>
              <w:right w:val="nil"/>
            </w:tcBorders>
            <w:shd w:val="clear" w:color="auto" w:fill="auto"/>
            <w:noWrap/>
            <w:vAlign w:val="bottom"/>
            <w:hideMark/>
          </w:tcPr>
          <w:p w14:paraId="37E5143C"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15</w:t>
            </w:r>
          </w:p>
        </w:tc>
        <w:tc>
          <w:tcPr>
            <w:tcW w:w="680" w:type="dxa"/>
            <w:tcBorders>
              <w:top w:val="nil"/>
              <w:left w:val="nil"/>
              <w:bottom w:val="nil"/>
              <w:right w:val="nil"/>
            </w:tcBorders>
            <w:shd w:val="clear" w:color="auto" w:fill="auto"/>
            <w:noWrap/>
            <w:vAlign w:val="bottom"/>
            <w:hideMark/>
          </w:tcPr>
          <w:p w14:paraId="6A46077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576</w:t>
            </w:r>
          </w:p>
        </w:tc>
        <w:tc>
          <w:tcPr>
            <w:tcW w:w="719" w:type="dxa"/>
            <w:tcBorders>
              <w:top w:val="nil"/>
              <w:left w:val="nil"/>
              <w:bottom w:val="nil"/>
              <w:right w:val="nil"/>
            </w:tcBorders>
            <w:shd w:val="clear" w:color="auto" w:fill="auto"/>
            <w:noWrap/>
            <w:vAlign w:val="bottom"/>
            <w:hideMark/>
          </w:tcPr>
          <w:p w14:paraId="1B99D0A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w:t>
            </w:r>
          </w:p>
        </w:tc>
        <w:tc>
          <w:tcPr>
            <w:tcW w:w="680" w:type="dxa"/>
            <w:tcBorders>
              <w:top w:val="nil"/>
              <w:left w:val="nil"/>
              <w:bottom w:val="nil"/>
              <w:right w:val="nil"/>
            </w:tcBorders>
            <w:shd w:val="clear" w:color="auto" w:fill="auto"/>
            <w:noWrap/>
            <w:vAlign w:val="bottom"/>
            <w:hideMark/>
          </w:tcPr>
          <w:p w14:paraId="76E7524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264</w:t>
            </w:r>
          </w:p>
        </w:tc>
        <w:tc>
          <w:tcPr>
            <w:tcW w:w="719" w:type="dxa"/>
            <w:tcBorders>
              <w:top w:val="nil"/>
              <w:left w:val="nil"/>
              <w:bottom w:val="nil"/>
              <w:right w:val="nil"/>
            </w:tcBorders>
            <w:shd w:val="clear" w:color="auto" w:fill="auto"/>
            <w:noWrap/>
            <w:vAlign w:val="bottom"/>
            <w:hideMark/>
          </w:tcPr>
          <w:p w14:paraId="234BD73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w:t>
            </w:r>
          </w:p>
        </w:tc>
        <w:tc>
          <w:tcPr>
            <w:tcW w:w="680" w:type="dxa"/>
            <w:tcBorders>
              <w:top w:val="nil"/>
              <w:left w:val="nil"/>
              <w:bottom w:val="nil"/>
              <w:right w:val="nil"/>
            </w:tcBorders>
            <w:shd w:val="clear" w:color="auto" w:fill="auto"/>
            <w:noWrap/>
            <w:vAlign w:val="bottom"/>
            <w:hideMark/>
          </w:tcPr>
          <w:p w14:paraId="2F8D259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790</w:t>
            </w:r>
          </w:p>
        </w:tc>
        <w:tc>
          <w:tcPr>
            <w:tcW w:w="719" w:type="dxa"/>
            <w:tcBorders>
              <w:top w:val="nil"/>
              <w:left w:val="nil"/>
              <w:bottom w:val="nil"/>
              <w:right w:val="nil"/>
            </w:tcBorders>
            <w:shd w:val="clear" w:color="auto" w:fill="auto"/>
            <w:noWrap/>
            <w:vAlign w:val="bottom"/>
            <w:hideMark/>
          </w:tcPr>
          <w:p w14:paraId="54E7D0F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202</w:t>
            </w:r>
          </w:p>
        </w:tc>
        <w:tc>
          <w:tcPr>
            <w:tcW w:w="680" w:type="dxa"/>
            <w:tcBorders>
              <w:top w:val="nil"/>
              <w:left w:val="nil"/>
              <w:bottom w:val="nil"/>
              <w:right w:val="nil"/>
            </w:tcBorders>
            <w:shd w:val="clear" w:color="auto" w:fill="auto"/>
            <w:noWrap/>
            <w:vAlign w:val="bottom"/>
            <w:hideMark/>
          </w:tcPr>
          <w:p w14:paraId="5C47AB8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1,101</w:t>
            </w:r>
          </w:p>
        </w:tc>
        <w:tc>
          <w:tcPr>
            <w:tcW w:w="719" w:type="dxa"/>
            <w:tcBorders>
              <w:top w:val="nil"/>
              <w:left w:val="nil"/>
              <w:bottom w:val="nil"/>
              <w:right w:val="nil"/>
            </w:tcBorders>
            <w:shd w:val="clear" w:color="auto" w:fill="auto"/>
            <w:noWrap/>
            <w:vAlign w:val="bottom"/>
            <w:hideMark/>
          </w:tcPr>
          <w:p w14:paraId="448B5AA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848</w:t>
            </w:r>
          </w:p>
        </w:tc>
        <w:tc>
          <w:tcPr>
            <w:tcW w:w="680" w:type="dxa"/>
            <w:tcBorders>
              <w:top w:val="nil"/>
              <w:left w:val="nil"/>
              <w:bottom w:val="nil"/>
              <w:right w:val="nil"/>
            </w:tcBorders>
            <w:shd w:val="clear" w:color="auto" w:fill="auto"/>
            <w:noWrap/>
            <w:vAlign w:val="bottom"/>
            <w:hideMark/>
          </w:tcPr>
          <w:p w14:paraId="31220DB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1,680</w:t>
            </w:r>
          </w:p>
        </w:tc>
        <w:tc>
          <w:tcPr>
            <w:tcW w:w="719" w:type="dxa"/>
            <w:tcBorders>
              <w:top w:val="nil"/>
              <w:left w:val="nil"/>
              <w:bottom w:val="nil"/>
              <w:right w:val="nil"/>
            </w:tcBorders>
            <w:shd w:val="clear" w:color="auto" w:fill="auto"/>
            <w:noWrap/>
            <w:vAlign w:val="bottom"/>
            <w:hideMark/>
          </w:tcPr>
          <w:p w14:paraId="0274024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1,823</w:t>
            </w:r>
          </w:p>
        </w:tc>
        <w:tc>
          <w:tcPr>
            <w:tcW w:w="680" w:type="dxa"/>
            <w:tcBorders>
              <w:top w:val="nil"/>
              <w:left w:val="nil"/>
              <w:bottom w:val="nil"/>
              <w:right w:val="nil"/>
            </w:tcBorders>
            <w:shd w:val="clear" w:color="auto" w:fill="auto"/>
            <w:noWrap/>
            <w:vAlign w:val="bottom"/>
            <w:hideMark/>
          </w:tcPr>
          <w:p w14:paraId="3788933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2,719</w:t>
            </w:r>
          </w:p>
        </w:tc>
        <w:tc>
          <w:tcPr>
            <w:tcW w:w="719" w:type="dxa"/>
            <w:tcBorders>
              <w:top w:val="nil"/>
              <w:left w:val="nil"/>
              <w:bottom w:val="nil"/>
              <w:right w:val="nil"/>
            </w:tcBorders>
            <w:shd w:val="clear" w:color="auto" w:fill="auto"/>
            <w:noWrap/>
            <w:vAlign w:val="bottom"/>
            <w:hideMark/>
          </w:tcPr>
          <w:p w14:paraId="0D83B57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3,256</w:t>
            </w:r>
          </w:p>
        </w:tc>
        <w:tc>
          <w:tcPr>
            <w:tcW w:w="680" w:type="dxa"/>
            <w:tcBorders>
              <w:top w:val="nil"/>
              <w:left w:val="nil"/>
              <w:bottom w:val="nil"/>
              <w:right w:val="nil"/>
            </w:tcBorders>
            <w:shd w:val="clear" w:color="auto" w:fill="auto"/>
            <w:noWrap/>
            <w:vAlign w:val="bottom"/>
            <w:hideMark/>
          </w:tcPr>
          <w:p w14:paraId="10D6627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4,313</w:t>
            </w:r>
          </w:p>
        </w:tc>
        <w:tc>
          <w:tcPr>
            <w:tcW w:w="719" w:type="dxa"/>
            <w:tcBorders>
              <w:top w:val="nil"/>
              <w:left w:val="nil"/>
              <w:bottom w:val="nil"/>
              <w:right w:val="nil"/>
            </w:tcBorders>
            <w:shd w:val="clear" w:color="auto" w:fill="auto"/>
            <w:noWrap/>
            <w:vAlign w:val="bottom"/>
            <w:hideMark/>
          </w:tcPr>
          <w:p w14:paraId="0B8C31D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4,871</w:t>
            </w:r>
          </w:p>
        </w:tc>
        <w:tc>
          <w:tcPr>
            <w:tcW w:w="680" w:type="dxa"/>
            <w:tcBorders>
              <w:top w:val="nil"/>
              <w:left w:val="nil"/>
              <w:bottom w:val="nil"/>
              <w:right w:val="nil"/>
            </w:tcBorders>
            <w:shd w:val="clear" w:color="auto" w:fill="auto"/>
            <w:noWrap/>
            <w:vAlign w:val="bottom"/>
            <w:hideMark/>
          </w:tcPr>
          <w:p w14:paraId="1C60F14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4,895</w:t>
            </w:r>
          </w:p>
        </w:tc>
        <w:tc>
          <w:tcPr>
            <w:tcW w:w="719" w:type="dxa"/>
            <w:tcBorders>
              <w:top w:val="nil"/>
              <w:left w:val="nil"/>
              <w:bottom w:val="nil"/>
              <w:right w:val="nil"/>
            </w:tcBorders>
            <w:shd w:val="clear" w:color="auto" w:fill="auto"/>
            <w:noWrap/>
            <w:vAlign w:val="bottom"/>
            <w:hideMark/>
          </w:tcPr>
          <w:p w14:paraId="4E15FBE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4,387</w:t>
            </w:r>
          </w:p>
        </w:tc>
        <w:tc>
          <w:tcPr>
            <w:tcW w:w="680" w:type="dxa"/>
            <w:tcBorders>
              <w:top w:val="nil"/>
              <w:left w:val="nil"/>
              <w:bottom w:val="nil"/>
              <w:right w:val="nil"/>
            </w:tcBorders>
            <w:shd w:val="clear" w:color="auto" w:fill="auto"/>
            <w:noWrap/>
            <w:vAlign w:val="bottom"/>
            <w:hideMark/>
          </w:tcPr>
          <w:p w14:paraId="3C6D9A1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4,273</w:t>
            </w:r>
          </w:p>
        </w:tc>
        <w:tc>
          <w:tcPr>
            <w:tcW w:w="719" w:type="dxa"/>
            <w:tcBorders>
              <w:top w:val="nil"/>
              <w:left w:val="nil"/>
              <w:bottom w:val="nil"/>
              <w:right w:val="nil"/>
            </w:tcBorders>
            <w:shd w:val="clear" w:color="auto" w:fill="auto"/>
            <w:noWrap/>
            <w:vAlign w:val="bottom"/>
            <w:hideMark/>
          </w:tcPr>
          <w:p w14:paraId="53BD680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1,809</w:t>
            </w:r>
          </w:p>
        </w:tc>
        <w:tc>
          <w:tcPr>
            <w:tcW w:w="680" w:type="dxa"/>
            <w:tcBorders>
              <w:top w:val="nil"/>
              <w:left w:val="nil"/>
              <w:bottom w:val="nil"/>
              <w:right w:val="nil"/>
            </w:tcBorders>
            <w:shd w:val="clear" w:color="000000" w:fill="FFFFFF"/>
            <w:noWrap/>
            <w:vAlign w:val="bottom"/>
            <w:hideMark/>
          </w:tcPr>
          <w:p w14:paraId="244BCDAD"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1,966</w:t>
            </w:r>
          </w:p>
        </w:tc>
        <w:tc>
          <w:tcPr>
            <w:tcW w:w="719" w:type="dxa"/>
            <w:tcBorders>
              <w:top w:val="nil"/>
              <w:left w:val="nil"/>
              <w:bottom w:val="nil"/>
              <w:right w:val="nil"/>
            </w:tcBorders>
            <w:shd w:val="clear" w:color="000000" w:fill="FFFFFF"/>
            <w:noWrap/>
            <w:vAlign w:val="bottom"/>
            <w:hideMark/>
          </w:tcPr>
          <w:p w14:paraId="0B1E1B20"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470</w:t>
            </w:r>
          </w:p>
        </w:tc>
      </w:tr>
      <w:tr w:rsidR="009A5001" w:rsidRPr="009A5001" w14:paraId="31DF3ECF" w14:textId="77777777" w:rsidTr="003C3BD1">
        <w:trPr>
          <w:trHeight w:val="348"/>
        </w:trPr>
        <w:tc>
          <w:tcPr>
            <w:tcW w:w="1020" w:type="dxa"/>
            <w:tcBorders>
              <w:top w:val="nil"/>
              <w:left w:val="nil"/>
              <w:bottom w:val="nil"/>
              <w:right w:val="nil"/>
            </w:tcBorders>
            <w:shd w:val="clear" w:color="auto" w:fill="auto"/>
            <w:noWrap/>
            <w:vAlign w:val="bottom"/>
            <w:hideMark/>
          </w:tcPr>
          <w:p w14:paraId="23AFA36B"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w:t>
            </w:r>
          </w:p>
        </w:tc>
        <w:tc>
          <w:tcPr>
            <w:tcW w:w="680" w:type="dxa"/>
            <w:tcBorders>
              <w:top w:val="nil"/>
              <w:left w:val="nil"/>
              <w:bottom w:val="nil"/>
              <w:right w:val="nil"/>
            </w:tcBorders>
            <w:shd w:val="clear" w:color="auto" w:fill="auto"/>
            <w:noWrap/>
            <w:vAlign w:val="bottom"/>
            <w:hideMark/>
          </w:tcPr>
          <w:p w14:paraId="241D171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641</w:t>
            </w:r>
          </w:p>
        </w:tc>
        <w:tc>
          <w:tcPr>
            <w:tcW w:w="719" w:type="dxa"/>
            <w:tcBorders>
              <w:top w:val="nil"/>
              <w:left w:val="nil"/>
              <w:bottom w:val="nil"/>
              <w:right w:val="nil"/>
            </w:tcBorders>
            <w:shd w:val="clear" w:color="auto" w:fill="auto"/>
            <w:noWrap/>
            <w:vAlign w:val="bottom"/>
            <w:hideMark/>
          </w:tcPr>
          <w:p w14:paraId="0B0B915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23</w:t>
            </w:r>
          </w:p>
        </w:tc>
        <w:tc>
          <w:tcPr>
            <w:tcW w:w="680" w:type="dxa"/>
            <w:tcBorders>
              <w:top w:val="nil"/>
              <w:left w:val="nil"/>
              <w:bottom w:val="nil"/>
              <w:right w:val="nil"/>
            </w:tcBorders>
            <w:shd w:val="clear" w:color="auto" w:fill="auto"/>
            <w:noWrap/>
            <w:vAlign w:val="bottom"/>
            <w:hideMark/>
          </w:tcPr>
          <w:p w14:paraId="55D2A09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283</w:t>
            </w:r>
          </w:p>
        </w:tc>
        <w:tc>
          <w:tcPr>
            <w:tcW w:w="719" w:type="dxa"/>
            <w:tcBorders>
              <w:top w:val="nil"/>
              <w:left w:val="nil"/>
              <w:bottom w:val="nil"/>
              <w:right w:val="nil"/>
            </w:tcBorders>
            <w:shd w:val="clear" w:color="auto" w:fill="auto"/>
            <w:noWrap/>
            <w:vAlign w:val="bottom"/>
            <w:hideMark/>
          </w:tcPr>
          <w:p w14:paraId="0C67F51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w:t>
            </w:r>
          </w:p>
        </w:tc>
        <w:tc>
          <w:tcPr>
            <w:tcW w:w="680" w:type="dxa"/>
            <w:tcBorders>
              <w:top w:val="nil"/>
              <w:left w:val="nil"/>
              <w:bottom w:val="nil"/>
              <w:right w:val="nil"/>
            </w:tcBorders>
            <w:shd w:val="clear" w:color="auto" w:fill="auto"/>
            <w:noWrap/>
            <w:vAlign w:val="bottom"/>
            <w:hideMark/>
          </w:tcPr>
          <w:p w14:paraId="0B31145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746</w:t>
            </w:r>
          </w:p>
        </w:tc>
        <w:tc>
          <w:tcPr>
            <w:tcW w:w="719" w:type="dxa"/>
            <w:tcBorders>
              <w:top w:val="nil"/>
              <w:left w:val="nil"/>
              <w:bottom w:val="nil"/>
              <w:right w:val="nil"/>
            </w:tcBorders>
            <w:shd w:val="clear" w:color="auto" w:fill="auto"/>
            <w:noWrap/>
            <w:vAlign w:val="bottom"/>
            <w:hideMark/>
          </w:tcPr>
          <w:p w14:paraId="74E744C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221</w:t>
            </w:r>
          </w:p>
        </w:tc>
        <w:tc>
          <w:tcPr>
            <w:tcW w:w="680" w:type="dxa"/>
            <w:tcBorders>
              <w:top w:val="nil"/>
              <w:left w:val="nil"/>
              <w:bottom w:val="nil"/>
              <w:right w:val="nil"/>
            </w:tcBorders>
            <w:shd w:val="clear" w:color="auto" w:fill="auto"/>
            <w:noWrap/>
            <w:vAlign w:val="bottom"/>
            <w:hideMark/>
          </w:tcPr>
          <w:p w14:paraId="6746259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994</w:t>
            </w:r>
          </w:p>
        </w:tc>
        <w:tc>
          <w:tcPr>
            <w:tcW w:w="719" w:type="dxa"/>
            <w:tcBorders>
              <w:top w:val="nil"/>
              <w:left w:val="nil"/>
              <w:bottom w:val="nil"/>
              <w:right w:val="nil"/>
            </w:tcBorders>
            <w:shd w:val="clear" w:color="auto" w:fill="auto"/>
            <w:noWrap/>
            <w:vAlign w:val="bottom"/>
            <w:hideMark/>
          </w:tcPr>
          <w:p w14:paraId="091DCF2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719</w:t>
            </w:r>
          </w:p>
        </w:tc>
        <w:tc>
          <w:tcPr>
            <w:tcW w:w="680" w:type="dxa"/>
            <w:tcBorders>
              <w:top w:val="nil"/>
              <w:left w:val="nil"/>
              <w:bottom w:val="nil"/>
              <w:right w:val="nil"/>
            </w:tcBorders>
            <w:shd w:val="clear" w:color="auto" w:fill="auto"/>
            <w:noWrap/>
            <w:vAlign w:val="bottom"/>
            <w:hideMark/>
          </w:tcPr>
          <w:p w14:paraId="57A1D4B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1,678</w:t>
            </w:r>
          </w:p>
        </w:tc>
        <w:tc>
          <w:tcPr>
            <w:tcW w:w="719" w:type="dxa"/>
            <w:tcBorders>
              <w:top w:val="nil"/>
              <w:left w:val="nil"/>
              <w:bottom w:val="nil"/>
              <w:right w:val="nil"/>
            </w:tcBorders>
            <w:shd w:val="clear" w:color="auto" w:fill="auto"/>
            <w:noWrap/>
            <w:vAlign w:val="bottom"/>
            <w:hideMark/>
          </w:tcPr>
          <w:p w14:paraId="7669D1A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1,591</w:t>
            </w:r>
          </w:p>
        </w:tc>
        <w:tc>
          <w:tcPr>
            <w:tcW w:w="680" w:type="dxa"/>
            <w:tcBorders>
              <w:top w:val="nil"/>
              <w:left w:val="nil"/>
              <w:bottom w:val="nil"/>
              <w:right w:val="nil"/>
            </w:tcBorders>
            <w:shd w:val="clear" w:color="auto" w:fill="auto"/>
            <w:noWrap/>
            <w:vAlign w:val="bottom"/>
            <w:hideMark/>
          </w:tcPr>
          <w:p w14:paraId="549E0DA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2,645</w:t>
            </w:r>
          </w:p>
        </w:tc>
        <w:tc>
          <w:tcPr>
            <w:tcW w:w="719" w:type="dxa"/>
            <w:tcBorders>
              <w:top w:val="nil"/>
              <w:left w:val="nil"/>
              <w:bottom w:val="nil"/>
              <w:right w:val="nil"/>
            </w:tcBorders>
            <w:shd w:val="clear" w:color="auto" w:fill="auto"/>
            <w:noWrap/>
            <w:vAlign w:val="bottom"/>
            <w:hideMark/>
          </w:tcPr>
          <w:p w14:paraId="4E7F7D4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2,685</w:t>
            </w:r>
          </w:p>
        </w:tc>
        <w:tc>
          <w:tcPr>
            <w:tcW w:w="680" w:type="dxa"/>
            <w:tcBorders>
              <w:top w:val="nil"/>
              <w:left w:val="nil"/>
              <w:bottom w:val="nil"/>
              <w:right w:val="nil"/>
            </w:tcBorders>
            <w:shd w:val="clear" w:color="auto" w:fill="auto"/>
            <w:noWrap/>
            <w:vAlign w:val="bottom"/>
            <w:hideMark/>
          </w:tcPr>
          <w:p w14:paraId="0BF658C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4,077</w:t>
            </w:r>
          </w:p>
        </w:tc>
        <w:tc>
          <w:tcPr>
            <w:tcW w:w="719" w:type="dxa"/>
            <w:tcBorders>
              <w:top w:val="nil"/>
              <w:left w:val="nil"/>
              <w:bottom w:val="nil"/>
              <w:right w:val="nil"/>
            </w:tcBorders>
            <w:shd w:val="clear" w:color="auto" w:fill="auto"/>
            <w:noWrap/>
            <w:vAlign w:val="bottom"/>
            <w:hideMark/>
          </w:tcPr>
          <w:p w14:paraId="04B7819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4,262</w:t>
            </w:r>
          </w:p>
        </w:tc>
        <w:tc>
          <w:tcPr>
            <w:tcW w:w="680" w:type="dxa"/>
            <w:tcBorders>
              <w:top w:val="nil"/>
              <w:left w:val="nil"/>
              <w:bottom w:val="nil"/>
              <w:right w:val="nil"/>
            </w:tcBorders>
            <w:shd w:val="clear" w:color="auto" w:fill="auto"/>
            <w:noWrap/>
            <w:vAlign w:val="bottom"/>
            <w:hideMark/>
          </w:tcPr>
          <w:p w14:paraId="0EF2338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4,590</w:t>
            </w:r>
          </w:p>
        </w:tc>
        <w:tc>
          <w:tcPr>
            <w:tcW w:w="719" w:type="dxa"/>
            <w:tcBorders>
              <w:top w:val="nil"/>
              <w:left w:val="nil"/>
              <w:bottom w:val="nil"/>
              <w:right w:val="nil"/>
            </w:tcBorders>
            <w:shd w:val="clear" w:color="auto" w:fill="auto"/>
            <w:noWrap/>
            <w:vAlign w:val="bottom"/>
            <w:hideMark/>
          </w:tcPr>
          <w:p w14:paraId="7CB0719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3,507</w:t>
            </w:r>
          </w:p>
        </w:tc>
        <w:tc>
          <w:tcPr>
            <w:tcW w:w="680" w:type="dxa"/>
            <w:tcBorders>
              <w:top w:val="nil"/>
              <w:left w:val="nil"/>
              <w:bottom w:val="nil"/>
              <w:right w:val="nil"/>
            </w:tcBorders>
            <w:shd w:val="clear" w:color="auto" w:fill="auto"/>
            <w:noWrap/>
            <w:vAlign w:val="bottom"/>
            <w:hideMark/>
          </w:tcPr>
          <w:p w14:paraId="18020DF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4,136</w:t>
            </w:r>
          </w:p>
        </w:tc>
        <w:tc>
          <w:tcPr>
            <w:tcW w:w="719" w:type="dxa"/>
            <w:tcBorders>
              <w:top w:val="nil"/>
              <w:left w:val="nil"/>
              <w:bottom w:val="nil"/>
              <w:right w:val="nil"/>
            </w:tcBorders>
            <w:shd w:val="clear" w:color="auto" w:fill="auto"/>
            <w:noWrap/>
            <w:vAlign w:val="bottom"/>
            <w:hideMark/>
          </w:tcPr>
          <w:p w14:paraId="21DD7BA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1,424</w:t>
            </w:r>
          </w:p>
        </w:tc>
        <w:tc>
          <w:tcPr>
            <w:tcW w:w="680" w:type="dxa"/>
            <w:tcBorders>
              <w:top w:val="nil"/>
              <w:left w:val="nil"/>
              <w:bottom w:val="nil"/>
              <w:right w:val="nil"/>
            </w:tcBorders>
            <w:shd w:val="clear" w:color="000000" w:fill="FFFFFF"/>
            <w:noWrap/>
            <w:vAlign w:val="bottom"/>
            <w:hideMark/>
          </w:tcPr>
          <w:p w14:paraId="48DD190C"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1,983</w:t>
            </w:r>
          </w:p>
        </w:tc>
        <w:tc>
          <w:tcPr>
            <w:tcW w:w="719" w:type="dxa"/>
            <w:tcBorders>
              <w:top w:val="nil"/>
              <w:left w:val="nil"/>
              <w:bottom w:val="nil"/>
              <w:right w:val="nil"/>
            </w:tcBorders>
            <w:shd w:val="clear" w:color="000000" w:fill="FFFFFF"/>
            <w:noWrap/>
            <w:vAlign w:val="bottom"/>
            <w:hideMark/>
          </w:tcPr>
          <w:p w14:paraId="6516AC5C"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413</w:t>
            </w:r>
          </w:p>
        </w:tc>
      </w:tr>
      <w:tr w:rsidR="009A5001" w:rsidRPr="009A5001" w14:paraId="0AB5994C" w14:textId="77777777" w:rsidTr="003C3BD1">
        <w:trPr>
          <w:trHeight w:val="348"/>
        </w:trPr>
        <w:tc>
          <w:tcPr>
            <w:tcW w:w="1020" w:type="dxa"/>
            <w:tcBorders>
              <w:top w:val="nil"/>
              <w:left w:val="nil"/>
              <w:bottom w:val="nil"/>
              <w:right w:val="nil"/>
            </w:tcBorders>
            <w:shd w:val="clear" w:color="auto" w:fill="auto"/>
            <w:noWrap/>
            <w:vAlign w:val="bottom"/>
            <w:hideMark/>
          </w:tcPr>
          <w:p w14:paraId="5C794890"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w:t>
            </w:r>
          </w:p>
        </w:tc>
        <w:tc>
          <w:tcPr>
            <w:tcW w:w="680" w:type="dxa"/>
            <w:tcBorders>
              <w:top w:val="nil"/>
              <w:left w:val="nil"/>
              <w:bottom w:val="nil"/>
              <w:right w:val="nil"/>
            </w:tcBorders>
            <w:shd w:val="clear" w:color="auto" w:fill="auto"/>
            <w:noWrap/>
            <w:vAlign w:val="bottom"/>
            <w:hideMark/>
          </w:tcPr>
          <w:p w14:paraId="33E1B37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551</w:t>
            </w:r>
          </w:p>
        </w:tc>
        <w:tc>
          <w:tcPr>
            <w:tcW w:w="719" w:type="dxa"/>
            <w:tcBorders>
              <w:top w:val="nil"/>
              <w:left w:val="nil"/>
              <w:bottom w:val="nil"/>
              <w:right w:val="nil"/>
            </w:tcBorders>
            <w:shd w:val="clear" w:color="auto" w:fill="auto"/>
            <w:noWrap/>
            <w:vAlign w:val="bottom"/>
            <w:hideMark/>
          </w:tcPr>
          <w:p w14:paraId="74AE154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w:t>
            </w:r>
          </w:p>
        </w:tc>
        <w:tc>
          <w:tcPr>
            <w:tcW w:w="680" w:type="dxa"/>
            <w:tcBorders>
              <w:top w:val="nil"/>
              <w:left w:val="nil"/>
              <w:bottom w:val="nil"/>
              <w:right w:val="nil"/>
            </w:tcBorders>
            <w:shd w:val="clear" w:color="auto" w:fill="auto"/>
            <w:noWrap/>
            <w:vAlign w:val="bottom"/>
            <w:hideMark/>
          </w:tcPr>
          <w:p w14:paraId="5572F7B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256</w:t>
            </w:r>
          </w:p>
        </w:tc>
        <w:tc>
          <w:tcPr>
            <w:tcW w:w="719" w:type="dxa"/>
            <w:tcBorders>
              <w:top w:val="nil"/>
              <w:left w:val="nil"/>
              <w:bottom w:val="nil"/>
              <w:right w:val="nil"/>
            </w:tcBorders>
            <w:shd w:val="clear" w:color="auto" w:fill="auto"/>
            <w:noWrap/>
            <w:vAlign w:val="bottom"/>
            <w:hideMark/>
          </w:tcPr>
          <w:p w14:paraId="369721A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22</w:t>
            </w:r>
          </w:p>
        </w:tc>
        <w:tc>
          <w:tcPr>
            <w:tcW w:w="680" w:type="dxa"/>
            <w:tcBorders>
              <w:top w:val="nil"/>
              <w:left w:val="nil"/>
              <w:bottom w:val="nil"/>
              <w:right w:val="nil"/>
            </w:tcBorders>
            <w:shd w:val="clear" w:color="auto" w:fill="auto"/>
            <w:noWrap/>
            <w:vAlign w:val="bottom"/>
            <w:hideMark/>
          </w:tcPr>
          <w:p w14:paraId="5EF286D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710</w:t>
            </w:r>
          </w:p>
        </w:tc>
        <w:tc>
          <w:tcPr>
            <w:tcW w:w="719" w:type="dxa"/>
            <w:tcBorders>
              <w:top w:val="nil"/>
              <w:left w:val="nil"/>
              <w:bottom w:val="nil"/>
              <w:right w:val="nil"/>
            </w:tcBorders>
            <w:shd w:val="clear" w:color="auto" w:fill="auto"/>
            <w:noWrap/>
            <w:vAlign w:val="bottom"/>
            <w:hideMark/>
          </w:tcPr>
          <w:p w14:paraId="192ACB8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171</w:t>
            </w:r>
          </w:p>
        </w:tc>
        <w:tc>
          <w:tcPr>
            <w:tcW w:w="680" w:type="dxa"/>
            <w:tcBorders>
              <w:top w:val="nil"/>
              <w:left w:val="nil"/>
              <w:bottom w:val="nil"/>
              <w:right w:val="nil"/>
            </w:tcBorders>
            <w:shd w:val="clear" w:color="auto" w:fill="auto"/>
            <w:noWrap/>
            <w:vAlign w:val="bottom"/>
            <w:hideMark/>
          </w:tcPr>
          <w:p w14:paraId="19CEDE7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891</w:t>
            </w:r>
          </w:p>
        </w:tc>
        <w:tc>
          <w:tcPr>
            <w:tcW w:w="719" w:type="dxa"/>
            <w:tcBorders>
              <w:top w:val="nil"/>
              <w:left w:val="nil"/>
              <w:bottom w:val="nil"/>
              <w:right w:val="nil"/>
            </w:tcBorders>
            <w:shd w:val="clear" w:color="auto" w:fill="auto"/>
            <w:noWrap/>
            <w:vAlign w:val="bottom"/>
            <w:hideMark/>
          </w:tcPr>
          <w:p w14:paraId="3038A48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643</w:t>
            </w:r>
          </w:p>
        </w:tc>
        <w:tc>
          <w:tcPr>
            <w:tcW w:w="680" w:type="dxa"/>
            <w:tcBorders>
              <w:top w:val="nil"/>
              <w:left w:val="nil"/>
              <w:bottom w:val="nil"/>
              <w:right w:val="nil"/>
            </w:tcBorders>
            <w:shd w:val="clear" w:color="auto" w:fill="auto"/>
            <w:noWrap/>
            <w:vAlign w:val="bottom"/>
            <w:hideMark/>
          </w:tcPr>
          <w:p w14:paraId="080D15E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1,361</w:t>
            </w:r>
          </w:p>
        </w:tc>
        <w:tc>
          <w:tcPr>
            <w:tcW w:w="719" w:type="dxa"/>
            <w:tcBorders>
              <w:top w:val="nil"/>
              <w:left w:val="nil"/>
              <w:bottom w:val="nil"/>
              <w:right w:val="nil"/>
            </w:tcBorders>
            <w:shd w:val="clear" w:color="auto" w:fill="auto"/>
            <w:noWrap/>
            <w:vAlign w:val="bottom"/>
            <w:hideMark/>
          </w:tcPr>
          <w:p w14:paraId="790E1B9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1,414</w:t>
            </w:r>
          </w:p>
        </w:tc>
        <w:tc>
          <w:tcPr>
            <w:tcW w:w="680" w:type="dxa"/>
            <w:tcBorders>
              <w:top w:val="nil"/>
              <w:left w:val="nil"/>
              <w:bottom w:val="nil"/>
              <w:right w:val="nil"/>
            </w:tcBorders>
            <w:shd w:val="clear" w:color="auto" w:fill="auto"/>
            <w:noWrap/>
            <w:vAlign w:val="bottom"/>
            <w:hideMark/>
          </w:tcPr>
          <w:p w14:paraId="2D45D73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2,319</w:t>
            </w:r>
          </w:p>
        </w:tc>
        <w:tc>
          <w:tcPr>
            <w:tcW w:w="719" w:type="dxa"/>
            <w:tcBorders>
              <w:top w:val="nil"/>
              <w:left w:val="nil"/>
              <w:bottom w:val="nil"/>
              <w:right w:val="nil"/>
            </w:tcBorders>
            <w:shd w:val="clear" w:color="auto" w:fill="auto"/>
            <w:noWrap/>
            <w:vAlign w:val="bottom"/>
            <w:hideMark/>
          </w:tcPr>
          <w:p w14:paraId="6B5EEF0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2,511</w:t>
            </w:r>
          </w:p>
        </w:tc>
        <w:tc>
          <w:tcPr>
            <w:tcW w:w="680" w:type="dxa"/>
            <w:tcBorders>
              <w:top w:val="nil"/>
              <w:left w:val="nil"/>
              <w:bottom w:val="nil"/>
              <w:right w:val="nil"/>
            </w:tcBorders>
            <w:shd w:val="clear" w:color="auto" w:fill="auto"/>
            <w:noWrap/>
            <w:vAlign w:val="bottom"/>
            <w:hideMark/>
          </w:tcPr>
          <w:p w14:paraId="34052F1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3,567</w:t>
            </w:r>
          </w:p>
        </w:tc>
        <w:tc>
          <w:tcPr>
            <w:tcW w:w="719" w:type="dxa"/>
            <w:tcBorders>
              <w:top w:val="nil"/>
              <w:left w:val="nil"/>
              <w:bottom w:val="nil"/>
              <w:right w:val="nil"/>
            </w:tcBorders>
            <w:shd w:val="clear" w:color="auto" w:fill="auto"/>
            <w:noWrap/>
            <w:vAlign w:val="bottom"/>
            <w:hideMark/>
          </w:tcPr>
          <w:p w14:paraId="45EC8B4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3,725</w:t>
            </w:r>
          </w:p>
        </w:tc>
        <w:tc>
          <w:tcPr>
            <w:tcW w:w="680" w:type="dxa"/>
            <w:tcBorders>
              <w:top w:val="nil"/>
              <w:left w:val="nil"/>
              <w:bottom w:val="nil"/>
              <w:right w:val="nil"/>
            </w:tcBorders>
            <w:shd w:val="clear" w:color="auto" w:fill="auto"/>
            <w:noWrap/>
            <w:vAlign w:val="bottom"/>
            <w:hideMark/>
          </w:tcPr>
          <w:p w14:paraId="1EA706C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3,995</w:t>
            </w:r>
          </w:p>
        </w:tc>
        <w:tc>
          <w:tcPr>
            <w:tcW w:w="719" w:type="dxa"/>
            <w:tcBorders>
              <w:top w:val="nil"/>
              <w:left w:val="nil"/>
              <w:bottom w:val="nil"/>
              <w:right w:val="nil"/>
            </w:tcBorders>
            <w:shd w:val="clear" w:color="auto" w:fill="auto"/>
            <w:noWrap/>
            <w:vAlign w:val="bottom"/>
            <w:hideMark/>
          </w:tcPr>
          <w:p w14:paraId="08BC6CD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2,654</w:t>
            </w:r>
          </w:p>
        </w:tc>
        <w:tc>
          <w:tcPr>
            <w:tcW w:w="680" w:type="dxa"/>
            <w:tcBorders>
              <w:top w:val="nil"/>
              <w:left w:val="nil"/>
              <w:bottom w:val="nil"/>
              <w:right w:val="nil"/>
            </w:tcBorders>
            <w:shd w:val="clear" w:color="auto" w:fill="auto"/>
            <w:noWrap/>
            <w:vAlign w:val="bottom"/>
            <w:hideMark/>
          </w:tcPr>
          <w:p w14:paraId="3FA85EC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3,553</w:t>
            </w:r>
          </w:p>
        </w:tc>
        <w:tc>
          <w:tcPr>
            <w:tcW w:w="719" w:type="dxa"/>
            <w:tcBorders>
              <w:top w:val="nil"/>
              <w:left w:val="nil"/>
              <w:bottom w:val="nil"/>
              <w:right w:val="nil"/>
            </w:tcBorders>
            <w:shd w:val="clear" w:color="auto" w:fill="auto"/>
            <w:noWrap/>
            <w:vAlign w:val="bottom"/>
            <w:hideMark/>
          </w:tcPr>
          <w:p w14:paraId="3949D17D"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1,188</w:t>
            </w:r>
          </w:p>
        </w:tc>
        <w:tc>
          <w:tcPr>
            <w:tcW w:w="680" w:type="dxa"/>
            <w:tcBorders>
              <w:top w:val="nil"/>
              <w:left w:val="nil"/>
              <w:bottom w:val="nil"/>
              <w:right w:val="nil"/>
            </w:tcBorders>
            <w:shd w:val="clear" w:color="000000" w:fill="FFFFFF"/>
            <w:noWrap/>
            <w:vAlign w:val="bottom"/>
            <w:hideMark/>
          </w:tcPr>
          <w:p w14:paraId="5FF67B47"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1,697</w:t>
            </w:r>
          </w:p>
        </w:tc>
        <w:tc>
          <w:tcPr>
            <w:tcW w:w="719" w:type="dxa"/>
            <w:tcBorders>
              <w:top w:val="nil"/>
              <w:left w:val="nil"/>
              <w:bottom w:val="nil"/>
              <w:right w:val="nil"/>
            </w:tcBorders>
            <w:shd w:val="clear" w:color="000000" w:fill="FFFFFF"/>
            <w:noWrap/>
            <w:vAlign w:val="bottom"/>
            <w:hideMark/>
          </w:tcPr>
          <w:p w14:paraId="0DE44EF4"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311</w:t>
            </w:r>
          </w:p>
        </w:tc>
      </w:tr>
      <w:tr w:rsidR="009A5001" w:rsidRPr="009A5001" w14:paraId="69CAA21F" w14:textId="77777777" w:rsidTr="003C3BD1">
        <w:trPr>
          <w:trHeight w:val="348"/>
        </w:trPr>
        <w:tc>
          <w:tcPr>
            <w:tcW w:w="1020" w:type="dxa"/>
            <w:tcBorders>
              <w:top w:val="nil"/>
              <w:left w:val="nil"/>
              <w:bottom w:val="nil"/>
              <w:right w:val="nil"/>
            </w:tcBorders>
            <w:shd w:val="clear" w:color="auto" w:fill="auto"/>
            <w:noWrap/>
            <w:vAlign w:val="bottom"/>
            <w:hideMark/>
          </w:tcPr>
          <w:p w14:paraId="73C6A3FD"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w:t>
            </w:r>
          </w:p>
        </w:tc>
        <w:tc>
          <w:tcPr>
            <w:tcW w:w="680" w:type="dxa"/>
            <w:tcBorders>
              <w:top w:val="nil"/>
              <w:left w:val="nil"/>
              <w:bottom w:val="nil"/>
              <w:right w:val="nil"/>
            </w:tcBorders>
            <w:shd w:val="clear" w:color="auto" w:fill="auto"/>
            <w:noWrap/>
            <w:vAlign w:val="bottom"/>
            <w:hideMark/>
          </w:tcPr>
          <w:p w14:paraId="268E27A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445</w:t>
            </w:r>
          </w:p>
        </w:tc>
        <w:tc>
          <w:tcPr>
            <w:tcW w:w="719" w:type="dxa"/>
            <w:tcBorders>
              <w:top w:val="nil"/>
              <w:left w:val="nil"/>
              <w:bottom w:val="nil"/>
              <w:right w:val="nil"/>
            </w:tcBorders>
            <w:shd w:val="clear" w:color="auto" w:fill="auto"/>
            <w:noWrap/>
            <w:vAlign w:val="bottom"/>
            <w:hideMark/>
          </w:tcPr>
          <w:p w14:paraId="36933C1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w:t>
            </w:r>
          </w:p>
        </w:tc>
        <w:tc>
          <w:tcPr>
            <w:tcW w:w="680" w:type="dxa"/>
            <w:tcBorders>
              <w:top w:val="nil"/>
              <w:left w:val="nil"/>
              <w:bottom w:val="nil"/>
              <w:right w:val="nil"/>
            </w:tcBorders>
            <w:shd w:val="clear" w:color="auto" w:fill="auto"/>
            <w:noWrap/>
            <w:vAlign w:val="bottom"/>
            <w:hideMark/>
          </w:tcPr>
          <w:p w14:paraId="4975B1D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181</w:t>
            </w:r>
          </w:p>
        </w:tc>
        <w:tc>
          <w:tcPr>
            <w:tcW w:w="719" w:type="dxa"/>
            <w:tcBorders>
              <w:top w:val="nil"/>
              <w:left w:val="nil"/>
              <w:bottom w:val="nil"/>
              <w:right w:val="nil"/>
            </w:tcBorders>
            <w:shd w:val="clear" w:color="auto" w:fill="auto"/>
            <w:noWrap/>
            <w:vAlign w:val="bottom"/>
            <w:hideMark/>
          </w:tcPr>
          <w:p w14:paraId="43359E9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17</w:t>
            </w:r>
          </w:p>
        </w:tc>
        <w:tc>
          <w:tcPr>
            <w:tcW w:w="680" w:type="dxa"/>
            <w:tcBorders>
              <w:top w:val="nil"/>
              <w:left w:val="nil"/>
              <w:bottom w:val="nil"/>
              <w:right w:val="nil"/>
            </w:tcBorders>
            <w:shd w:val="clear" w:color="auto" w:fill="auto"/>
            <w:noWrap/>
            <w:vAlign w:val="bottom"/>
            <w:hideMark/>
          </w:tcPr>
          <w:p w14:paraId="7B11D3E1"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516</w:t>
            </w:r>
          </w:p>
        </w:tc>
        <w:tc>
          <w:tcPr>
            <w:tcW w:w="719" w:type="dxa"/>
            <w:tcBorders>
              <w:top w:val="nil"/>
              <w:left w:val="nil"/>
              <w:bottom w:val="nil"/>
              <w:right w:val="nil"/>
            </w:tcBorders>
            <w:shd w:val="clear" w:color="auto" w:fill="auto"/>
            <w:noWrap/>
            <w:vAlign w:val="bottom"/>
            <w:hideMark/>
          </w:tcPr>
          <w:p w14:paraId="75FA5473"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122</w:t>
            </w:r>
          </w:p>
        </w:tc>
        <w:tc>
          <w:tcPr>
            <w:tcW w:w="680" w:type="dxa"/>
            <w:tcBorders>
              <w:top w:val="nil"/>
              <w:left w:val="nil"/>
              <w:bottom w:val="nil"/>
              <w:right w:val="nil"/>
            </w:tcBorders>
            <w:shd w:val="clear" w:color="auto" w:fill="auto"/>
            <w:noWrap/>
            <w:vAlign w:val="bottom"/>
            <w:hideMark/>
          </w:tcPr>
          <w:p w14:paraId="1F86A76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708</w:t>
            </w:r>
          </w:p>
        </w:tc>
        <w:tc>
          <w:tcPr>
            <w:tcW w:w="719" w:type="dxa"/>
            <w:tcBorders>
              <w:top w:val="nil"/>
              <w:left w:val="nil"/>
              <w:bottom w:val="nil"/>
              <w:right w:val="nil"/>
            </w:tcBorders>
            <w:shd w:val="clear" w:color="auto" w:fill="auto"/>
            <w:noWrap/>
            <w:vAlign w:val="bottom"/>
            <w:hideMark/>
          </w:tcPr>
          <w:p w14:paraId="0BD0FC5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565</w:t>
            </w:r>
          </w:p>
        </w:tc>
        <w:tc>
          <w:tcPr>
            <w:tcW w:w="680" w:type="dxa"/>
            <w:tcBorders>
              <w:top w:val="nil"/>
              <w:left w:val="nil"/>
              <w:bottom w:val="nil"/>
              <w:right w:val="nil"/>
            </w:tcBorders>
            <w:shd w:val="clear" w:color="auto" w:fill="auto"/>
            <w:noWrap/>
            <w:vAlign w:val="bottom"/>
            <w:hideMark/>
          </w:tcPr>
          <w:p w14:paraId="6B6DCBA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1,148</w:t>
            </w:r>
          </w:p>
        </w:tc>
        <w:tc>
          <w:tcPr>
            <w:tcW w:w="719" w:type="dxa"/>
            <w:tcBorders>
              <w:top w:val="nil"/>
              <w:left w:val="nil"/>
              <w:bottom w:val="nil"/>
              <w:right w:val="nil"/>
            </w:tcBorders>
            <w:shd w:val="clear" w:color="auto" w:fill="auto"/>
            <w:noWrap/>
            <w:vAlign w:val="bottom"/>
            <w:hideMark/>
          </w:tcPr>
          <w:p w14:paraId="6E2BBAE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1,217</w:t>
            </w:r>
          </w:p>
        </w:tc>
        <w:tc>
          <w:tcPr>
            <w:tcW w:w="680" w:type="dxa"/>
            <w:tcBorders>
              <w:top w:val="nil"/>
              <w:left w:val="nil"/>
              <w:bottom w:val="nil"/>
              <w:right w:val="nil"/>
            </w:tcBorders>
            <w:shd w:val="clear" w:color="auto" w:fill="auto"/>
            <w:noWrap/>
            <w:vAlign w:val="bottom"/>
            <w:hideMark/>
          </w:tcPr>
          <w:p w14:paraId="1EAD66D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1,897</w:t>
            </w:r>
          </w:p>
        </w:tc>
        <w:tc>
          <w:tcPr>
            <w:tcW w:w="719" w:type="dxa"/>
            <w:tcBorders>
              <w:top w:val="nil"/>
              <w:left w:val="nil"/>
              <w:bottom w:val="nil"/>
              <w:right w:val="nil"/>
            </w:tcBorders>
            <w:shd w:val="clear" w:color="auto" w:fill="auto"/>
            <w:noWrap/>
            <w:vAlign w:val="bottom"/>
            <w:hideMark/>
          </w:tcPr>
          <w:p w14:paraId="7D500260"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2,135</w:t>
            </w:r>
          </w:p>
        </w:tc>
        <w:tc>
          <w:tcPr>
            <w:tcW w:w="680" w:type="dxa"/>
            <w:tcBorders>
              <w:top w:val="nil"/>
              <w:left w:val="nil"/>
              <w:bottom w:val="nil"/>
              <w:right w:val="nil"/>
            </w:tcBorders>
            <w:shd w:val="clear" w:color="auto" w:fill="auto"/>
            <w:noWrap/>
            <w:vAlign w:val="bottom"/>
            <w:hideMark/>
          </w:tcPr>
          <w:p w14:paraId="017811C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2,800</w:t>
            </w:r>
          </w:p>
        </w:tc>
        <w:tc>
          <w:tcPr>
            <w:tcW w:w="719" w:type="dxa"/>
            <w:tcBorders>
              <w:top w:val="nil"/>
              <w:left w:val="nil"/>
              <w:bottom w:val="nil"/>
              <w:right w:val="nil"/>
            </w:tcBorders>
            <w:shd w:val="clear" w:color="auto" w:fill="auto"/>
            <w:noWrap/>
            <w:vAlign w:val="bottom"/>
            <w:hideMark/>
          </w:tcPr>
          <w:p w14:paraId="764E4D7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3,122</w:t>
            </w:r>
          </w:p>
        </w:tc>
        <w:tc>
          <w:tcPr>
            <w:tcW w:w="680" w:type="dxa"/>
            <w:tcBorders>
              <w:top w:val="nil"/>
              <w:left w:val="nil"/>
              <w:bottom w:val="nil"/>
              <w:right w:val="nil"/>
            </w:tcBorders>
            <w:shd w:val="clear" w:color="auto" w:fill="auto"/>
            <w:noWrap/>
            <w:vAlign w:val="bottom"/>
            <w:hideMark/>
          </w:tcPr>
          <w:p w14:paraId="34FEB01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3,155</w:t>
            </w:r>
          </w:p>
        </w:tc>
        <w:tc>
          <w:tcPr>
            <w:tcW w:w="719" w:type="dxa"/>
            <w:tcBorders>
              <w:top w:val="nil"/>
              <w:left w:val="nil"/>
              <w:bottom w:val="nil"/>
              <w:right w:val="nil"/>
            </w:tcBorders>
            <w:shd w:val="clear" w:color="auto" w:fill="auto"/>
            <w:noWrap/>
            <w:vAlign w:val="bottom"/>
            <w:hideMark/>
          </w:tcPr>
          <w:p w14:paraId="29B629E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1,923</w:t>
            </w:r>
          </w:p>
        </w:tc>
        <w:tc>
          <w:tcPr>
            <w:tcW w:w="680" w:type="dxa"/>
            <w:tcBorders>
              <w:top w:val="nil"/>
              <w:left w:val="nil"/>
              <w:bottom w:val="nil"/>
              <w:right w:val="nil"/>
            </w:tcBorders>
            <w:shd w:val="clear" w:color="auto" w:fill="auto"/>
            <w:noWrap/>
            <w:vAlign w:val="bottom"/>
            <w:hideMark/>
          </w:tcPr>
          <w:p w14:paraId="4C72BB6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2,963</w:t>
            </w:r>
          </w:p>
        </w:tc>
        <w:tc>
          <w:tcPr>
            <w:tcW w:w="719" w:type="dxa"/>
            <w:tcBorders>
              <w:top w:val="nil"/>
              <w:left w:val="nil"/>
              <w:bottom w:val="nil"/>
              <w:right w:val="nil"/>
            </w:tcBorders>
            <w:shd w:val="clear" w:color="auto" w:fill="auto"/>
            <w:noWrap/>
            <w:vAlign w:val="bottom"/>
            <w:hideMark/>
          </w:tcPr>
          <w:p w14:paraId="688BCCC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917</w:t>
            </w:r>
          </w:p>
        </w:tc>
        <w:tc>
          <w:tcPr>
            <w:tcW w:w="680" w:type="dxa"/>
            <w:tcBorders>
              <w:top w:val="nil"/>
              <w:left w:val="nil"/>
              <w:bottom w:val="nil"/>
              <w:right w:val="nil"/>
            </w:tcBorders>
            <w:shd w:val="clear" w:color="000000" w:fill="FFFFFF"/>
            <w:noWrap/>
            <w:vAlign w:val="bottom"/>
            <w:hideMark/>
          </w:tcPr>
          <w:p w14:paraId="563D071A"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1,414</w:t>
            </w:r>
          </w:p>
        </w:tc>
        <w:tc>
          <w:tcPr>
            <w:tcW w:w="719" w:type="dxa"/>
            <w:tcBorders>
              <w:top w:val="nil"/>
              <w:left w:val="nil"/>
              <w:bottom w:val="nil"/>
              <w:right w:val="nil"/>
            </w:tcBorders>
            <w:shd w:val="clear" w:color="000000" w:fill="FFFFFF"/>
            <w:noWrap/>
            <w:vAlign w:val="bottom"/>
            <w:hideMark/>
          </w:tcPr>
          <w:p w14:paraId="7E464B7B"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278</w:t>
            </w:r>
          </w:p>
        </w:tc>
      </w:tr>
      <w:tr w:rsidR="009A5001" w:rsidRPr="009A5001" w14:paraId="7D3726E5" w14:textId="77777777" w:rsidTr="003C3BD1">
        <w:trPr>
          <w:trHeight w:val="348"/>
        </w:trPr>
        <w:tc>
          <w:tcPr>
            <w:tcW w:w="1020" w:type="dxa"/>
            <w:tcBorders>
              <w:top w:val="nil"/>
              <w:left w:val="nil"/>
              <w:bottom w:val="nil"/>
              <w:right w:val="nil"/>
            </w:tcBorders>
            <w:shd w:val="clear" w:color="auto" w:fill="auto"/>
            <w:noWrap/>
            <w:vAlign w:val="bottom"/>
            <w:hideMark/>
          </w:tcPr>
          <w:p w14:paraId="1DBA6398" w14:textId="77777777" w:rsidR="009A5001" w:rsidRPr="009A5001" w:rsidRDefault="009A5001" w:rsidP="003C3BD1">
            <w:pPr>
              <w:spacing w:after="0" w:line="240" w:lineRule="auto"/>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19</w:t>
            </w:r>
          </w:p>
        </w:tc>
        <w:tc>
          <w:tcPr>
            <w:tcW w:w="680" w:type="dxa"/>
            <w:tcBorders>
              <w:top w:val="nil"/>
              <w:left w:val="nil"/>
              <w:bottom w:val="nil"/>
              <w:right w:val="nil"/>
            </w:tcBorders>
            <w:shd w:val="clear" w:color="auto" w:fill="auto"/>
            <w:noWrap/>
            <w:vAlign w:val="bottom"/>
            <w:hideMark/>
          </w:tcPr>
          <w:p w14:paraId="128B7A04"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326</w:t>
            </w:r>
          </w:p>
        </w:tc>
        <w:tc>
          <w:tcPr>
            <w:tcW w:w="719" w:type="dxa"/>
            <w:tcBorders>
              <w:top w:val="nil"/>
              <w:left w:val="nil"/>
              <w:bottom w:val="nil"/>
              <w:right w:val="nil"/>
            </w:tcBorders>
            <w:shd w:val="clear" w:color="auto" w:fill="auto"/>
            <w:noWrap/>
            <w:vAlign w:val="bottom"/>
            <w:hideMark/>
          </w:tcPr>
          <w:p w14:paraId="0BD49CF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w:t>
            </w:r>
          </w:p>
        </w:tc>
        <w:tc>
          <w:tcPr>
            <w:tcW w:w="680" w:type="dxa"/>
            <w:tcBorders>
              <w:top w:val="nil"/>
              <w:left w:val="nil"/>
              <w:bottom w:val="nil"/>
              <w:right w:val="nil"/>
            </w:tcBorders>
            <w:shd w:val="clear" w:color="auto" w:fill="auto"/>
            <w:noWrap/>
            <w:vAlign w:val="bottom"/>
            <w:hideMark/>
          </w:tcPr>
          <w:p w14:paraId="7697257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149</w:t>
            </w:r>
          </w:p>
        </w:tc>
        <w:tc>
          <w:tcPr>
            <w:tcW w:w="719" w:type="dxa"/>
            <w:tcBorders>
              <w:top w:val="nil"/>
              <w:left w:val="nil"/>
              <w:bottom w:val="nil"/>
              <w:right w:val="nil"/>
            </w:tcBorders>
            <w:shd w:val="clear" w:color="auto" w:fill="auto"/>
            <w:noWrap/>
            <w:vAlign w:val="bottom"/>
            <w:hideMark/>
          </w:tcPr>
          <w:p w14:paraId="1F864A9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20</w:t>
            </w:r>
          </w:p>
        </w:tc>
        <w:tc>
          <w:tcPr>
            <w:tcW w:w="680" w:type="dxa"/>
            <w:tcBorders>
              <w:top w:val="nil"/>
              <w:left w:val="nil"/>
              <w:bottom w:val="nil"/>
              <w:right w:val="nil"/>
            </w:tcBorders>
            <w:shd w:val="clear" w:color="auto" w:fill="auto"/>
            <w:noWrap/>
            <w:vAlign w:val="bottom"/>
            <w:hideMark/>
          </w:tcPr>
          <w:p w14:paraId="7DE8210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381</w:t>
            </w:r>
          </w:p>
        </w:tc>
        <w:tc>
          <w:tcPr>
            <w:tcW w:w="719" w:type="dxa"/>
            <w:tcBorders>
              <w:top w:val="nil"/>
              <w:left w:val="nil"/>
              <w:bottom w:val="nil"/>
              <w:right w:val="nil"/>
            </w:tcBorders>
            <w:shd w:val="clear" w:color="auto" w:fill="auto"/>
            <w:noWrap/>
            <w:vAlign w:val="bottom"/>
            <w:hideMark/>
          </w:tcPr>
          <w:p w14:paraId="4D48D147"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117</w:t>
            </w:r>
          </w:p>
        </w:tc>
        <w:tc>
          <w:tcPr>
            <w:tcW w:w="680" w:type="dxa"/>
            <w:tcBorders>
              <w:top w:val="nil"/>
              <w:left w:val="nil"/>
              <w:bottom w:val="nil"/>
              <w:right w:val="nil"/>
            </w:tcBorders>
            <w:shd w:val="clear" w:color="auto" w:fill="auto"/>
            <w:noWrap/>
            <w:vAlign w:val="bottom"/>
            <w:hideMark/>
          </w:tcPr>
          <w:p w14:paraId="7D917DC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572</w:t>
            </w:r>
          </w:p>
        </w:tc>
        <w:tc>
          <w:tcPr>
            <w:tcW w:w="719" w:type="dxa"/>
            <w:tcBorders>
              <w:top w:val="nil"/>
              <w:left w:val="nil"/>
              <w:bottom w:val="nil"/>
              <w:right w:val="nil"/>
            </w:tcBorders>
            <w:shd w:val="clear" w:color="auto" w:fill="auto"/>
            <w:noWrap/>
            <w:vAlign w:val="bottom"/>
            <w:hideMark/>
          </w:tcPr>
          <w:p w14:paraId="5194796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473</w:t>
            </w:r>
          </w:p>
        </w:tc>
        <w:tc>
          <w:tcPr>
            <w:tcW w:w="680" w:type="dxa"/>
            <w:tcBorders>
              <w:top w:val="nil"/>
              <w:left w:val="nil"/>
              <w:bottom w:val="nil"/>
              <w:right w:val="nil"/>
            </w:tcBorders>
            <w:shd w:val="clear" w:color="auto" w:fill="auto"/>
            <w:noWrap/>
            <w:vAlign w:val="bottom"/>
            <w:hideMark/>
          </w:tcPr>
          <w:p w14:paraId="4802C43B"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934</w:t>
            </w:r>
          </w:p>
        </w:tc>
        <w:tc>
          <w:tcPr>
            <w:tcW w:w="719" w:type="dxa"/>
            <w:tcBorders>
              <w:top w:val="nil"/>
              <w:left w:val="nil"/>
              <w:bottom w:val="nil"/>
              <w:right w:val="nil"/>
            </w:tcBorders>
            <w:shd w:val="clear" w:color="auto" w:fill="auto"/>
            <w:noWrap/>
            <w:vAlign w:val="bottom"/>
            <w:hideMark/>
          </w:tcPr>
          <w:p w14:paraId="2D2ED46A"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1,146</w:t>
            </w:r>
          </w:p>
        </w:tc>
        <w:tc>
          <w:tcPr>
            <w:tcW w:w="680" w:type="dxa"/>
            <w:tcBorders>
              <w:top w:val="nil"/>
              <w:left w:val="nil"/>
              <w:bottom w:val="nil"/>
              <w:right w:val="nil"/>
            </w:tcBorders>
            <w:shd w:val="clear" w:color="auto" w:fill="auto"/>
            <w:noWrap/>
            <w:vAlign w:val="bottom"/>
            <w:hideMark/>
          </w:tcPr>
          <w:p w14:paraId="7897BD32"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1,567</w:t>
            </w:r>
          </w:p>
        </w:tc>
        <w:tc>
          <w:tcPr>
            <w:tcW w:w="719" w:type="dxa"/>
            <w:tcBorders>
              <w:top w:val="nil"/>
              <w:left w:val="nil"/>
              <w:bottom w:val="nil"/>
              <w:right w:val="nil"/>
            </w:tcBorders>
            <w:shd w:val="clear" w:color="auto" w:fill="auto"/>
            <w:noWrap/>
            <w:vAlign w:val="bottom"/>
            <w:hideMark/>
          </w:tcPr>
          <w:p w14:paraId="70422D6F"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1,836</w:t>
            </w:r>
          </w:p>
        </w:tc>
        <w:tc>
          <w:tcPr>
            <w:tcW w:w="680" w:type="dxa"/>
            <w:tcBorders>
              <w:top w:val="nil"/>
              <w:left w:val="nil"/>
              <w:bottom w:val="nil"/>
              <w:right w:val="nil"/>
            </w:tcBorders>
            <w:shd w:val="clear" w:color="auto" w:fill="auto"/>
            <w:noWrap/>
            <w:vAlign w:val="bottom"/>
            <w:hideMark/>
          </w:tcPr>
          <w:p w14:paraId="35D5E859"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2,407</w:t>
            </w:r>
          </w:p>
        </w:tc>
        <w:tc>
          <w:tcPr>
            <w:tcW w:w="719" w:type="dxa"/>
            <w:tcBorders>
              <w:top w:val="nil"/>
              <w:left w:val="nil"/>
              <w:bottom w:val="nil"/>
              <w:right w:val="nil"/>
            </w:tcBorders>
            <w:shd w:val="clear" w:color="auto" w:fill="auto"/>
            <w:noWrap/>
            <w:vAlign w:val="bottom"/>
            <w:hideMark/>
          </w:tcPr>
          <w:p w14:paraId="6A3F5CE5"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2,393</w:t>
            </w:r>
          </w:p>
        </w:tc>
        <w:tc>
          <w:tcPr>
            <w:tcW w:w="680" w:type="dxa"/>
            <w:tcBorders>
              <w:top w:val="nil"/>
              <w:left w:val="nil"/>
              <w:bottom w:val="nil"/>
              <w:right w:val="nil"/>
            </w:tcBorders>
            <w:shd w:val="clear" w:color="auto" w:fill="auto"/>
            <w:noWrap/>
            <w:vAlign w:val="bottom"/>
            <w:hideMark/>
          </w:tcPr>
          <w:p w14:paraId="1BDBB0BC"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2,645</w:t>
            </w:r>
          </w:p>
        </w:tc>
        <w:tc>
          <w:tcPr>
            <w:tcW w:w="719" w:type="dxa"/>
            <w:tcBorders>
              <w:top w:val="nil"/>
              <w:left w:val="nil"/>
              <w:bottom w:val="nil"/>
              <w:right w:val="nil"/>
            </w:tcBorders>
            <w:shd w:val="clear" w:color="auto" w:fill="auto"/>
            <w:noWrap/>
            <w:vAlign w:val="bottom"/>
            <w:hideMark/>
          </w:tcPr>
          <w:p w14:paraId="5617D338"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1,367</w:t>
            </w:r>
          </w:p>
        </w:tc>
        <w:tc>
          <w:tcPr>
            <w:tcW w:w="680" w:type="dxa"/>
            <w:tcBorders>
              <w:top w:val="nil"/>
              <w:left w:val="nil"/>
              <w:bottom w:val="nil"/>
              <w:right w:val="nil"/>
            </w:tcBorders>
            <w:shd w:val="clear" w:color="auto" w:fill="auto"/>
            <w:noWrap/>
            <w:vAlign w:val="bottom"/>
            <w:hideMark/>
          </w:tcPr>
          <w:p w14:paraId="6B0EEAA6"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2,595</w:t>
            </w:r>
          </w:p>
        </w:tc>
        <w:tc>
          <w:tcPr>
            <w:tcW w:w="719" w:type="dxa"/>
            <w:tcBorders>
              <w:top w:val="nil"/>
              <w:left w:val="nil"/>
              <w:bottom w:val="nil"/>
              <w:right w:val="nil"/>
            </w:tcBorders>
            <w:shd w:val="clear" w:color="auto" w:fill="auto"/>
            <w:noWrap/>
            <w:vAlign w:val="bottom"/>
            <w:hideMark/>
          </w:tcPr>
          <w:p w14:paraId="364CE44E" w14:textId="77777777" w:rsidR="009A5001" w:rsidRPr="009A5001" w:rsidRDefault="009A5001" w:rsidP="003C3BD1">
            <w:pPr>
              <w:spacing w:after="0" w:line="240" w:lineRule="auto"/>
              <w:jc w:val="right"/>
              <w:rPr>
                <w:rFonts w:ascii="Calibri" w:eastAsia="Times New Roman" w:hAnsi="Calibri" w:cs="Calibri"/>
                <w:color w:val="000000"/>
                <w:sz w:val="18"/>
                <w:szCs w:val="18"/>
                <w:lang w:eastAsia="pt-BR"/>
              </w:rPr>
            </w:pPr>
            <w:r w:rsidRPr="009A5001">
              <w:rPr>
                <w:rFonts w:ascii="Calibri" w:eastAsia="Times New Roman" w:hAnsi="Calibri" w:cs="Calibri"/>
                <w:color w:val="000000"/>
                <w:sz w:val="18"/>
                <w:szCs w:val="18"/>
                <w:lang w:eastAsia="pt-BR"/>
              </w:rPr>
              <w:t>787</w:t>
            </w:r>
          </w:p>
        </w:tc>
        <w:tc>
          <w:tcPr>
            <w:tcW w:w="680" w:type="dxa"/>
            <w:tcBorders>
              <w:top w:val="nil"/>
              <w:left w:val="nil"/>
              <w:bottom w:val="nil"/>
              <w:right w:val="nil"/>
            </w:tcBorders>
            <w:shd w:val="clear" w:color="000000" w:fill="FFFFFF"/>
            <w:noWrap/>
            <w:vAlign w:val="bottom"/>
            <w:hideMark/>
          </w:tcPr>
          <w:p w14:paraId="3EDF63DF"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1,176</w:t>
            </w:r>
          </w:p>
        </w:tc>
        <w:tc>
          <w:tcPr>
            <w:tcW w:w="719" w:type="dxa"/>
            <w:tcBorders>
              <w:top w:val="nil"/>
              <w:left w:val="nil"/>
              <w:bottom w:val="nil"/>
              <w:right w:val="nil"/>
            </w:tcBorders>
            <w:shd w:val="clear" w:color="000000" w:fill="FFFFFF"/>
            <w:noWrap/>
            <w:vAlign w:val="bottom"/>
            <w:hideMark/>
          </w:tcPr>
          <w:p w14:paraId="1B072C31" w14:textId="77777777" w:rsidR="009A5001" w:rsidRPr="009A5001" w:rsidRDefault="009A5001" w:rsidP="003C3BD1">
            <w:pPr>
              <w:spacing w:after="0" w:line="240" w:lineRule="auto"/>
              <w:jc w:val="right"/>
              <w:rPr>
                <w:rFonts w:ascii="Calibri" w:eastAsia="Times New Roman" w:hAnsi="Calibri" w:cs="Calibri"/>
                <w:sz w:val="18"/>
                <w:szCs w:val="18"/>
                <w:lang w:eastAsia="pt-BR"/>
              </w:rPr>
            </w:pPr>
            <w:r w:rsidRPr="009A5001">
              <w:rPr>
                <w:rFonts w:ascii="Calibri" w:eastAsia="Times New Roman" w:hAnsi="Calibri" w:cs="Calibri"/>
                <w:sz w:val="18"/>
                <w:szCs w:val="18"/>
                <w:lang w:eastAsia="pt-BR"/>
              </w:rPr>
              <w:t>258</w:t>
            </w:r>
          </w:p>
        </w:tc>
      </w:tr>
    </w:tbl>
    <w:p w14:paraId="5F743C7A" w14:textId="42493806" w:rsidR="009A5001" w:rsidRPr="00A66110" w:rsidRDefault="009A5001" w:rsidP="009A5001">
      <w:pPr>
        <w:rPr>
          <w:b/>
          <w:bCs/>
          <w:vertAlign w:val="subscript"/>
          <w:lang w:val="en-US"/>
        </w:rPr>
      </w:pPr>
    </w:p>
    <w:p w14:paraId="09410D8F" w14:textId="77777777" w:rsidR="009A5001" w:rsidRPr="005B1DCD" w:rsidRDefault="009A5001" w:rsidP="009A5001">
      <w:pPr>
        <w:spacing w:line="276" w:lineRule="auto"/>
        <w:jc w:val="center"/>
        <w:rPr>
          <w:b/>
          <w:bCs/>
          <w:sz w:val="24"/>
          <w:szCs w:val="24"/>
          <w:lang w:val="en-US"/>
        </w:rPr>
      </w:pPr>
      <w:r w:rsidRPr="005B1DCD">
        <w:rPr>
          <w:b/>
          <w:bCs/>
          <w:sz w:val="24"/>
          <w:szCs w:val="24"/>
          <w:lang w:val="en-US"/>
        </w:rPr>
        <w:t>Supplementary figure 1. Proportionate mortality of individuals aged 80</w:t>
      </w:r>
      <w:r>
        <w:rPr>
          <w:b/>
          <w:bCs/>
          <w:sz w:val="24"/>
          <w:szCs w:val="24"/>
          <w:lang w:val="en-US"/>
        </w:rPr>
        <w:t xml:space="preserve">+ years due to COVID-19 </w:t>
      </w:r>
      <w:r w:rsidRPr="005B1DCD">
        <w:rPr>
          <w:b/>
          <w:bCs/>
          <w:sz w:val="24"/>
          <w:szCs w:val="24"/>
          <w:lang w:val="en-US"/>
        </w:rPr>
        <w:t xml:space="preserve">relative to deaths at all ages </w:t>
      </w:r>
      <w:r>
        <w:rPr>
          <w:b/>
          <w:bCs/>
          <w:sz w:val="24"/>
          <w:szCs w:val="24"/>
          <w:lang w:val="en-US"/>
        </w:rPr>
        <w:t xml:space="preserve">due to COVID-19 </w:t>
      </w:r>
      <w:r w:rsidRPr="005B1DCD">
        <w:rPr>
          <w:b/>
          <w:bCs/>
          <w:sz w:val="24"/>
          <w:szCs w:val="24"/>
          <w:lang w:val="en-US"/>
        </w:rPr>
        <w:t>by region</w:t>
      </w:r>
      <w:r>
        <w:rPr>
          <w:b/>
          <w:bCs/>
          <w:sz w:val="24"/>
          <w:szCs w:val="24"/>
          <w:lang w:val="en-US"/>
        </w:rPr>
        <w:t xml:space="preserve"> and epidemiological week. </w:t>
      </w:r>
      <w:r w:rsidRPr="005B1DCD">
        <w:rPr>
          <w:b/>
          <w:bCs/>
          <w:sz w:val="24"/>
          <w:szCs w:val="24"/>
          <w:lang w:val="en-US"/>
        </w:rPr>
        <w:t xml:space="preserve">Brazil, </w:t>
      </w:r>
      <w:r>
        <w:rPr>
          <w:b/>
          <w:bCs/>
          <w:sz w:val="24"/>
          <w:szCs w:val="24"/>
          <w:lang w:val="en-US"/>
        </w:rPr>
        <w:t xml:space="preserve">January to April </w:t>
      </w:r>
      <w:r w:rsidRPr="005B1DCD">
        <w:rPr>
          <w:b/>
          <w:bCs/>
          <w:sz w:val="24"/>
          <w:szCs w:val="24"/>
          <w:lang w:val="en-US"/>
        </w:rPr>
        <w:t>2021.</w:t>
      </w:r>
    </w:p>
    <w:p w14:paraId="1FB1D662" w14:textId="77777777" w:rsidR="009A5001" w:rsidRPr="00CE0069" w:rsidRDefault="009A5001" w:rsidP="009A5001">
      <w:pPr>
        <w:spacing w:line="276" w:lineRule="auto"/>
        <w:jc w:val="center"/>
        <w:rPr>
          <w:highlight w:val="yellow"/>
          <w:lang w:val="en-US"/>
        </w:rPr>
      </w:pPr>
      <w:r>
        <w:rPr>
          <w:noProof/>
        </w:rPr>
        <w:drawing>
          <wp:inline distT="0" distB="0" distL="0" distR="0" wp14:anchorId="659C0EC2" wp14:editId="2B8B4436">
            <wp:extent cx="7458075" cy="3543300"/>
            <wp:effectExtent l="0" t="0" r="9525" b="0"/>
            <wp:docPr id="1" name="Chart 1">
              <a:extLst xmlns:a="http://schemas.openxmlformats.org/drawingml/2006/main">
                <a:ext uri="{FF2B5EF4-FFF2-40B4-BE49-F238E27FC236}">
                  <a16:creationId xmlns:a16="http://schemas.microsoft.com/office/drawing/2014/main" id="{D44A8838-742B-4D6B-BEF0-86D7D4730A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7A2042" w14:textId="77777777" w:rsidR="009A5001" w:rsidRDefault="009A5001" w:rsidP="009A5001">
      <w:pPr>
        <w:rPr>
          <w:lang w:val="en-US"/>
        </w:rPr>
      </w:pPr>
      <w:r>
        <w:rPr>
          <w:lang w:val="en-US"/>
        </w:rPr>
        <w:br w:type="page"/>
      </w:r>
    </w:p>
    <w:p w14:paraId="5C342F5C" w14:textId="77777777" w:rsidR="009A5001" w:rsidRDefault="009A5001" w:rsidP="009A5001">
      <w:pPr>
        <w:spacing w:line="276" w:lineRule="auto"/>
        <w:jc w:val="center"/>
        <w:rPr>
          <w:b/>
          <w:bCs/>
          <w:sz w:val="24"/>
          <w:szCs w:val="24"/>
          <w:lang w:val="en-US"/>
        </w:rPr>
      </w:pPr>
      <w:r w:rsidRPr="00B51D30">
        <w:rPr>
          <w:b/>
          <w:bCs/>
          <w:sz w:val="24"/>
          <w:szCs w:val="24"/>
          <w:lang w:val="en-US"/>
        </w:rPr>
        <w:lastRenderedPageBreak/>
        <w:t xml:space="preserve">Supplementary figure 2. Proportionate mortality </w:t>
      </w:r>
      <w:r>
        <w:rPr>
          <w:b/>
          <w:bCs/>
          <w:sz w:val="24"/>
          <w:szCs w:val="24"/>
          <w:lang w:val="en-US"/>
        </w:rPr>
        <w:t xml:space="preserve">due to COVID-19 </w:t>
      </w:r>
      <w:r w:rsidRPr="00B51D30">
        <w:rPr>
          <w:b/>
          <w:bCs/>
          <w:sz w:val="24"/>
          <w:szCs w:val="24"/>
          <w:lang w:val="en-US"/>
        </w:rPr>
        <w:t>of individuals aged 70-79 and 80</w:t>
      </w:r>
      <w:r>
        <w:rPr>
          <w:b/>
          <w:bCs/>
          <w:sz w:val="24"/>
          <w:szCs w:val="24"/>
          <w:lang w:val="en-US"/>
        </w:rPr>
        <w:t xml:space="preserve">+ </w:t>
      </w:r>
      <w:r w:rsidRPr="00B51D30">
        <w:rPr>
          <w:b/>
          <w:bCs/>
          <w:sz w:val="24"/>
          <w:szCs w:val="24"/>
          <w:lang w:val="en-US"/>
        </w:rPr>
        <w:t>years relative to deaths at all ages</w:t>
      </w:r>
      <w:r>
        <w:rPr>
          <w:b/>
          <w:bCs/>
          <w:sz w:val="24"/>
          <w:szCs w:val="24"/>
          <w:lang w:val="en-US"/>
        </w:rPr>
        <w:t xml:space="preserve"> due to COVID-19</w:t>
      </w:r>
      <w:r w:rsidRPr="00B51D30">
        <w:rPr>
          <w:b/>
          <w:bCs/>
          <w:sz w:val="24"/>
          <w:szCs w:val="24"/>
          <w:lang w:val="en-US"/>
        </w:rPr>
        <w:t xml:space="preserve"> by </w:t>
      </w:r>
      <w:r>
        <w:rPr>
          <w:b/>
          <w:bCs/>
          <w:sz w:val="24"/>
          <w:szCs w:val="24"/>
          <w:lang w:val="en-US"/>
        </w:rPr>
        <w:t>month.</w:t>
      </w:r>
      <w:r w:rsidRPr="00B51D30">
        <w:rPr>
          <w:b/>
          <w:bCs/>
          <w:sz w:val="24"/>
          <w:szCs w:val="24"/>
          <w:lang w:val="en-US"/>
        </w:rPr>
        <w:t xml:space="preserve"> Brazil, May 2020 to May 2021.  </w:t>
      </w:r>
      <w:r w:rsidRPr="002223B3">
        <w:rPr>
          <w:noProof/>
          <w:sz w:val="32"/>
          <w:szCs w:val="32"/>
        </w:rPr>
        <w:drawing>
          <wp:inline distT="0" distB="0" distL="0" distR="0" wp14:anchorId="25EA648D" wp14:editId="221E490E">
            <wp:extent cx="7181850" cy="4114800"/>
            <wp:effectExtent l="0" t="0" r="0" b="0"/>
            <wp:docPr id="3" name="Chart 3">
              <a:extLst xmlns:a="http://schemas.openxmlformats.org/drawingml/2006/main">
                <a:ext uri="{FF2B5EF4-FFF2-40B4-BE49-F238E27FC236}">
                  <a16:creationId xmlns:a16="http://schemas.microsoft.com/office/drawing/2014/main" id="{19A1D462-16D2-49E5-9E16-2FAEDCA38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A2F827" w14:textId="5816AF42" w:rsidR="009A5001" w:rsidRPr="009A5001" w:rsidRDefault="009A5001" w:rsidP="009A5001">
      <w:pPr>
        <w:jc w:val="center"/>
        <w:rPr>
          <w:lang w:val="en-US"/>
        </w:rPr>
        <w:sectPr w:rsidR="009A5001" w:rsidRPr="009A5001" w:rsidSect="009A5001">
          <w:pgSz w:w="16838" w:h="11906" w:orient="landscape"/>
          <w:pgMar w:top="1701" w:right="1418" w:bottom="1701" w:left="1418" w:header="709" w:footer="709" w:gutter="0"/>
          <w:cols w:space="708"/>
          <w:docGrid w:linePitch="360"/>
        </w:sectPr>
      </w:pPr>
      <w:r w:rsidRPr="005B1DCD">
        <w:rPr>
          <w:b/>
          <w:bCs/>
          <w:sz w:val="24"/>
          <w:szCs w:val="24"/>
          <w:lang w:val="en-US"/>
        </w:rPr>
        <w:lastRenderedPageBreak/>
        <w:t xml:space="preserve">Supplementary figure 3. Sex-specific proportionate mortality </w:t>
      </w:r>
      <w:r>
        <w:rPr>
          <w:b/>
          <w:bCs/>
          <w:sz w:val="24"/>
          <w:szCs w:val="24"/>
          <w:lang w:val="en-US"/>
        </w:rPr>
        <w:t xml:space="preserve">due to COVID-19 </w:t>
      </w:r>
      <w:r w:rsidRPr="005B1DCD">
        <w:rPr>
          <w:b/>
          <w:bCs/>
          <w:sz w:val="24"/>
          <w:szCs w:val="24"/>
          <w:lang w:val="en-US"/>
        </w:rPr>
        <w:t>of individuals aged 70-79 and 80</w:t>
      </w:r>
      <w:r>
        <w:rPr>
          <w:b/>
          <w:bCs/>
          <w:sz w:val="24"/>
          <w:szCs w:val="24"/>
          <w:lang w:val="en-US"/>
        </w:rPr>
        <w:t>+</w:t>
      </w:r>
      <w:r w:rsidRPr="005B1DCD">
        <w:rPr>
          <w:b/>
          <w:bCs/>
          <w:sz w:val="24"/>
          <w:szCs w:val="24"/>
          <w:lang w:val="en-US"/>
        </w:rPr>
        <w:t xml:space="preserve"> years relative to deaths at all ages </w:t>
      </w:r>
      <w:r>
        <w:rPr>
          <w:b/>
          <w:bCs/>
          <w:sz w:val="24"/>
          <w:szCs w:val="24"/>
          <w:lang w:val="en-US"/>
        </w:rPr>
        <w:t xml:space="preserve">due to COVID-19 by month. </w:t>
      </w:r>
      <w:r w:rsidRPr="00B51D30">
        <w:rPr>
          <w:b/>
          <w:bCs/>
          <w:sz w:val="24"/>
          <w:szCs w:val="24"/>
          <w:lang w:val="en-US"/>
        </w:rPr>
        <w:t xml:space="preserve">Brazil, May 2020 to May 2021.  </w:t>
      </w:r>
      <w:r w:rsidRPr="0032284F">
        <w:rPr>
          <w:noProof/>
          <w:sz w:val="28"/>
          <w:szCs w:val="28"/>
        </w:rPr>
        <w:drawing>
          <wp:inline distT="0" distB="0" distL="0" distR="0" wp14:anchorId="6C7DA1E4" wp14:editId="0A5B1F86">
            <wp:extent cx="7534275" cy="4638675"/>
            <wp:effectExtent l="0" t="0" r="9525" b="9525"/>
            <wp:docPr id="2" name="Chart 2">
              <a:extLst xmlns:a="http://schemas.openxmlformats.org/drawingml/2006/main">
                <a:ext uri="{FF2B5EF4-FFF2-40B4-BE49-F238E27FC236}">
                  <a16:creationId xmlns:a16="http://schemas.microsoft.com/office/drawing/2014/main" id="{16EA43B4-EAE2-439E-8482-BFDF537A29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A06342" w14:textId="4F345675" w:rsidR="00622D23" w:rsidRDefault="00622D23" w:rsidP="00622D23"/>
    <w:p w14:paraId="25E5A092" w14:textId="754DC140" w:rsidR="00622D23" w:rsidRDefault="00622D23" w:rsidP="00622D23"/>
    <w:p w14:paraId="42FBA7A4" w14:textId="4B5B0DED" w:rsidR="00622D23" w:rsidRDefault="00622D23" w:rsidP="00622D23"/>
    <w:p w14:paraId="7F3224A5" w14:textId="41B4CF31" w:rsidR="00622D23" w:rsidRDefault="00622D23" w:rsidP="00622D23"/>
    <w:p w14:paraId="507D7160" w14:textId="77736343" w:rsidR="00622D23" w:rsidRDefault="00622D23" w:rsidP="00622D23"/>
    <w:p w14:paraId="20B3F70E" w14:textId="33199559" w:rsidR="00622D23" w:rsidRDefault="00622D23" w:rsidP="00622D23"/>
    <w:p w14:paraId="7783592F" w14:textId="050168D3" w:rsidR="00622D23" w:rsidRDefault="00622D23" w:rsidP="00622D23"/>
    <w:p w14:paraId="221F06CC" w14:textId="76B6AC7B" w:rsidR="00622D23" w:rsidRPr="00622D23" w:rsidRDefault="00622D23" w:rsidP="00622D23">
      <w:pPr>
        <w:pStyle w:val="ListParagraph"/>
        <w:jc w:val="center"/>
        <w:rPr>
          <w:b/>
          <w:bCs/>
          <w:sz w:val="40"/>
          <w:szCs w:val="40"/>
        </w:rPr>
      </w:pPr>
      <w:proofErr w:type="spellStart"/>
      <w:r w:rsidRPr="00622D23">
        <w:rPr>
          <w:b/>
          <w:bCs/>
          <w:sz w:val="40"/>
          <w:szCs w:val="40"/>
        </w:rPr>
        <w:t>Blank</w:t>
      </w:r>
      <w:proofErr w:type="spellEnd"/>
      <w:r w:rsidRPr="00622D23">
        <w:rPr>
          <w:b/>
          <w:bCs/>
          <w:sz w:val="40"/>
          <w:szCs w:val="40"/>
        </w:rPr>
        <w:t xml:space="preserve"> </w:t>
      </w:r>
      <w:proofErr w:type="spellStart"/>
      <w:r w:rsidRPr="00622D23">
        <w:rPr>
          <w:b/>
          <w:bCs/>
          <w:sz w:val="40"/>
          <w:szCs w:val="40"/>
        </w:rPr>
        <w:t>page</w:t>
      </w:r>
      <w:proofErr w:type="spellEnd"/>
    </w:p>
    <w:sectPr w:rsidR="00622D23" w:rsidRPr="00622D23" w:rsidSect="00B029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5325" w14:textId="77777777" w:rsidR="002F45A7" w:rsidRDefault="002F45A7">
      <w:pPr>
        <w:spacing w:after="0" w:line="240" w:lineRule="auto"/>
      </w:pPr>
      <w:r>
        <w:separator/>
      </w:r>
    </w:p>
  </w:endnote>
  <w:endnote w:type="continuationSeparator" w:id="0">
    <w:p w14:paraId="050C6777" w14:textId="77777777" w:rsidR="002F45A7" w:rsidRDefault="002F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04234"/>
      <w:docPartObj>
        <w:docPartGallery w:val="Page Numbers (Bottom of Page)"/>
        <w:docPartUnique/>
      </w:docPartObj>
    </w:sdtPr>
    <w:sdtEndPr>
      <w:rPr>
        <w:noProof/>
      </w:rPr>
    </w:sdtEndPr>
    <w:sdtContent>
      <w:p w14:paraId="6C1CEAFD" w14:textId="77777777" w:rsidR="00562213" w:rsidRDefault="00E25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FD7E2" w14:textId="77777777" w:rsidR="00B73AD7" w:rsidRDefault="002F4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4A" w14:textId="77777777" w:rsidR="002F45A7" w:rsidRDefault="002F45A7">
      <w:pPr>
        <w:spacing w:after="0" w:line="240" w:lineRule="auto"/>
      </w:pPr>
      <w:r>
        <w:separator/>
      </w:r>
    </w:p>
  </w:footnote>
  <w:footnote w:type="continuationSeparator" w:id="0">
    <w:p w14:paraId="3626AE7B" w14:textId="77777777" w:rsidR="002F45A7" w:rsidRDefault="002F4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631"/>
    <w:multiLevelType w:val="hybridMultilevel"/>
    <w:tmpl w:val="2B281678"/>
    <w:lvl w:ilvl="0" w:tplc="524A43CC">
      <w:numFmt w:val="bullet"/>
      <w:lvlText w:val="-"/>
      <w:lvlJc w:val="left"/>
      <w:pPr>
        <w:ind w:left="1070" w:hanging="360"/>
      </w:pPr>
      <w:rPr>
        <w:rFonts w:ascii="Calibri" w:eastAsiaTheme="minorHAnsi" w:hAnsi="Calibri" w:cs="Calibri" w:hint="default"/>
      </w:rPr>
    </w:lvl>
    <w:lvl w:ilvl="1" w:tplc="04160003">
      <w:start w:val="1"/>
      <w:numFmt w:val="bullet"/>
      <w:lvlText w:val="o"/>
      <w:lvlJc w:val="left"/>
      <w:pPr>
        <w:ind w:left="1790" w:hanging="360"/>
      </w:pPr>
      <w:rPr>
        <w:rFonts w:ascii="Courier New" w:hAnsi="Courier New" w:cs="Courier New" w:hint="default"/>
      </w:rPr>
    </w:lvl>
    <w:lvl w:ilvl="2" w:tplc="04160005">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 w15:restartNumberingAfterBreak="0">
    <w:nsid w:val="0C9F6F6E"/>
    <w:multiLevelType w:val="hybridMultilevel"/>
    <w:tmpl w:val="2F9E48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567BB0"/>
    <w:multiLevelType w:val="hybridMultilevel"/>
    <w:tmpl w:val="1AF0F028"/>
    <w:lvl w:ilvl="0" w:tplc="70F869B0">
      <w:start w:val="13"/>
      <w:numFmt w:val="bullet"/>
      <w:lvlText w:val=""/>
      <w:lvlJc w:val="left"/>
      <w:pPr>
        <w:ind w:left="720" w:hanging="360"/>
      </w:pPr>
      <w:rPr>
        <w:rFonts w:ascii="Wingdings" w:eastAsiaTheme="minorHAnsi"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A94758"/>
    <w:multiLevelType w:val="hybridMultilevel"/>
    <w:tmpl w:val="90C68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91866FF"/>
    <w:multiLevelType w:val="hybridMultilevel"/>
    <w:tmpl w:val="3BD6F304"/>
    <w:lvl w:ilvl="0" w:tplc="62282378">
      <w:start w:val="7"/>
      <w:numFmt w:val="bullet"/>
      <w:lvlText w:val=""/>
      <w:lvlJc w:val="left"/>
      <w:pPr>
        <w:ind w:left="720" w:hanging="360"/>
      </w:pPr>
      <w:rPr>
        <w:rFonts w:ascii="Wingdings" w:eastAsiaTheme="minorHAnsi"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D58466F"/>
    <w:multiLevelType w:val="hybridMultilevel"/>
    <w:tmpl w:val="F2EA7A04"/>
    <w:lvl w:ilvl="0" w:tplc="04160001">
      <w:start w:val="1"/>
      <w:numFmt w:val="bullet"/>
      <w:lvlText w:val=""/>
      <w:lvlJc w:val="left"/>
      <w:pPr>
        <w:ind w:left="720" w:hanging="360"/>
      </w:pPr>
      <w:rPr>
        <w:rFonts w:ascii="Symbol" w:hAnsi="Symbol" w:hint="default"/>
      </w:rPr>
    </w:lvl>
    <w:lvl w:ilvl="1" w:tplc="22B25A40">
      <w:numFmt w:val="bullet"/>
      <w:lvlText w:val=""/>
      <w:lvlJc w:val="left"/>
      <w:pPr>
        <w:ind w:left="1440" w:hanging="360"/>
      </w:pPr>
      <w:rPr>
        <w:rFonts w:ascii="Wingdings" w:eastAsiaTheme="minorHAnsi" w:hAnsi="Wingdings" w:cstheme="minorHAnsi"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E991A41"/>
    <w:multiLevelType w:val="hybridMultilevel"/>
    <w:tmpl w:val="1F6A75C0"/>
    <w:lvl w:ilvl="0" w:tplc="9F2285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A4C41"/>
    <w:rsid w:val="002F45A7"/>
    <w:rsid w:val="004E60C3"/>
    <w:rsid w:val="00622D23"/>
    <w:rsid w:val="006B194C"/>
    <w:rsid w:val="007A5856"/>
    <w:rsid w:val="007D2AA7"/>
    <w:rsid w:val="009A5001"/>
    <w:rsid w:val="00C21D98"/>
    <w:rsid w:val="00CA4C41"/>
    <w:rsid w:val="00E25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3487"/>
  <w15:chartTrackingRefBased/>
  <w15:docId w15:val="{68CE5578-BAAC-40BA-A8D8-98563685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41"/>
  </w:style>
  <w:style w:type="paragraph" w:styleId="Heading1">
    <w:name w:val="heading 1"/>
    <w:basedOn w:val="Normal"/>
    <w:next w:val="Normal"/>
    <w:link w:val="Heading1Char"/>
    <w:uiPriority w:val="9"/>
    <w:qFormat/>
    <w:rsid w:val="00CA4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C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4C4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A4C41"/>
    <w:pPr>
      <w:ind w:left="720"/>
      <w:contextualSpacing/>
    </w:pPr>
  </w:style>
  <w:style w:type="table" w:styleId="TableGrid">
    <w:name w:val="Table Grid"/>
    <w:basedOn w:val="TableNormal"/>
    <w:uiPriority w:val="39"/>
    <w:rsid w:val="00CA4C41"/>
    <w:pPr>
      <w:spacing w:after="0" w:line="240" w:lineRule="auto"/>
    </w:pPr>
    <w:rPr>
      <w:rFonts w:cstheme="minorBidi"/>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A4C4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A4C41"/>
    <w:rPr>
      <w:rFonts w:ascii="Calibri" w:hAnsi="Calibri" w:cs="Calibri"/>
      <w:noProof/>
      <w:lang w:val="en-US"/>
    </w:rPr>
  </w:style>
  <w:style w:type="paragraph" w:customStyle="1" w:styleId="EndNoteBibliography">
    <w:name w:val="EndNote Bibliography"/>
    <w:basedOn w:val="Normal"/>
    <w:link w:val="EndNoteBibliographyChar"/>
    <w:rsid w:val="00CA4C4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A4C41"/>
    <w:rPr>
      <w:rFonts w:ascii="Calibri" w:hAnsi="Calibri" w:cs="Calibri"/>
      <w:noProof/>
      <w:lang w:val="en-US"/>
    </w:rPr>
  </w:style>
  <w:style w:type="character" w:styleId="Hyperlink">
    <w:name w:val="Hyperlink"/>
    <w:basedOn w:val="DefaultParagraphFont"/>
    <w:uiPriority w:val="99"/>
    <w:unhideWhenUsed/>
    <w:rsid w:val="00CA4C41"/>
    <w:rPr>
      <w:color w:val="0563C1" w:themeColor="hyperlink"/>
      <w:u w:val="single"/>
    </w:rPr>
  </w:style>
  <w:style w:type="character" w:customStyle="1" w:styleId="UnresolvedMention1">
    <w:name w:val="Unresolved Mention1"/>
    <w:basedOn w:val="DefaultParagraphFont"/>
    <w:uiPriority w:val="99"/>
    <w:semiHidden/>
    <w:unhideWhenUsed/>
    <w:rsid w:val="00CA4C41"/>
    <w:rPr>
      <w:color w:val="605E5C"/>
      <w:shd w:val="clear" w:color="auto" w:fill="E1DFDD"/>
    </w:rPr>
  </w:style>
  <w:style w:type="paragraph" w:styleId="Header">
    <w:name w:val="header"/>
    <w:basedOn w:val="Normal"/>
    <w:link w:val="HeaderChar"/>
    <w:uiPriority w:val="99"/>
    <w:unhideWhenUsed/>
    <w:rsid w:val="00CA4C41"/>
    <w:pPr>
      <w:tabs>
        <w:tab w:val="center" w:pos="4252"/>
        <w:tab w:val="right" w:pos="8504"/>
      </w:tabs>
      <w:spacing w:after="0" w:line="240" w:lineRule="auto"/>
    </w:pPr>
  </w:style>
  <w:style w:type="character" w:customStyle="1" w:styleId="HeaderChar">
    <w:name w:val="Header Char"/>
    <w:basedOn w:val="DefaultParagraphFont"/>
    <w:link w:val="Header"/>
    <w:uiPriority w:val="99"/>
    <w:rsid w:val="00CA4C41"/>
  </w:style>
  <w:style w:type="paragraph" w:styleId="Footer">
    <w:name w:val="footer"/>
    <w:basedOn w:val="Normal"/>
    <w:link w:val="FooterChar"/>
    <w:uiPriority w:val="99"/>
    <w:unhideWhenUsed/>
    <w:rsid w:val="00CA4C4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A4C41"/>
  </w:style>
  <w:style w:type="character" w:styleId="CommentReference">
    <w:name w:val="annotation reference"/>
    <w:basedOn w:val="DefaultParagraphFont"/>
    <w:uiPriority w:val="99"/>
    <w:semiHidden/>
    <w:unhideWhenUsed/>
    <w:rsid w:val="00CA4C41"/>
    <w:rPr>
      <w:sz w:val="16"/>
      <w:szCs w:val="16"/>
    </w:rPr>
  </w:style>
  <w:style w:type="paragraph" w:styleId="CommentText">
    <w:name w:val="annotation text"/>
    <w:basedOn w:val="Normal"/>
    <w:link w:val="CommentTextChar"/>
    <w:uiPriority w:val="99"/>
    <w:semiHidden/>
    <w:unhideWhenUsed/>
    <w:rsid w:val="00CA4C41"/>
    <w:pPr>
      <w:spacing w:line="240" w:lineRule="auto"/>
    </w:pPr>
    <w:rPr>
      <w:sz w:val="20"/>
      <w:szCs w:val="20"/>
    </w:rPr>
  </w:style>
  <w:style w:type="character" w:customStyle="1" w:styleId="CommentTextChar">
    <w:name w:val="Comment Text Char"/>
    <w:basedOn w:val="DefaultParagraphFont"/>
    <w:link w:val="CommentText"/>
    <w:uiPriority w:val="99"/>
    <w:semiHidden/>
    <w:rsid w:val="00CA4C41"/>
    <w:rPr>
      <w:sz w:val="20"/>
      <w:szCs w:val="20"/>
    </w:rPr>
  </w:style>
  <w:style w:type="paragraph" w:styleId="CommentSubject">
    <w:name w:val="annotation subject"/>
    <w:basedOn w:val="CommentText"/>
    <w:next w:val="CommentText"/>
    <w:link w:val="CommentSubjectChar"/>
    <w:uiPriority w:val="99"/>
    <w:semiHidden/>
    <w:unhideWhenUsed/>
    <w:rsid w:val="00CA4C41"/>
    <w:rPr>
      <w:b/>
      <w:bCs/>
    </w:rPr>
  </w:style>
  <w:style w:type="character" w:customStyle="1" w:styleId="CommentSubjectChar">
    <w:name w:val="Comment Subject Char"/>
    <w:basedOn w:val="CommentTextChar"/>
    <w:link w:val="CommentSubject"/>
    <w:uiPriority w:val="99"/>
    <w:semiHidden/>
    <w:rsid w:val="00CA4C41"/>
    <w:rPr>
      <w:b/>
      <w:bCs/>
      <w:sz w:val="20"/>
      <w:szCs w:val="20"/>
    </w:rPr>
  </w:style>
  <w:style w:type="paragraph" w:styleId="BalloonText">
    <w:name w:val="Balloon Text"/>
    <w:basedOn w:val="Normal"/>
    <w:link w:val="BalloonTextChar"/>
    <w:uiPriority w:val="99"/>
    <w:semiHidden/>
    <w:unhideWhenUsed/>
    <w:rsid w:val="00CA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41"/>
    <w:rPr>
      <w:rFonts w:ascii="Segoe UI" w:hAnsi="Segoe UI" w:cs="Segoe UI"/>
      <w:sz w:val="18"/>
      <w:szCs w:val="18"/>
    </w:rPr>
  </w:style>
  <w:style w:type="character" w:customStyle="1" w:styleId="UnresolvedMention2">
    <w:name w:val="Unresolved Mention2"/>
    <w:basedOn w:val="DefaultParagraphFont"/>
    <w:uiPriority w:val="99"/>
    <w:semiHidden/>
    <w:unhideWhenUsed/>
    <w:rsid w:val="00CA4C41"/>
    <w:rPr>
      <w:color w:val="605E5C"/>
      <w:shd w:val="clear" w:color="auto" w:fill="E1DFDD"/>
    </w:rPr>
  </w:style>
  <w:style w:type="character" w:styleId="FollowedHyperlink">
    <w:name w:val="FollowedHyperlink"/>
    <w:basedOn w:val="DefaultParagraphFont"/>
    <w:uiPriority w:val="99"/>
    <w:semiHidden/>
    <w:unhideWhenUsed/>
    <w:rsid w:val="00CA4C41"/>
    <w:rPr>
      <w:color w:val="954F72" w:themeColor="followedHyperlink"/>
      <w:u w:val="single"/>
    </w:rPr>
  </w:style>
  <w:style w:type="table" w:styleId="PlainTable3">
    <w:name w:val="Plain Table 3"/>
    <w:basedOn w:val="TableNormal"/>
    <w:uiPriority w:val="43"/>
    <w:rsid w:val="00CA4C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A4C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A4C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A4C41"/>
    <w:rPr>
      <w:color w:val="605E5C"/>
      <w:shd w:val="clear" w:color="auto" w:fill="E1DFDD"/>
    </w:rPr>
  </w:style>
  <w:style w:type="character" w:styleId="LineNumber">
    <w:name w:val="line number"/>
    <w:basedOn w:val="DefaultParagraphFont"/>
    <w:uiPriority w:val="99"/>
    <w:semiHidden/>
    <w:unhideWhenUsed/>
    <w:rsid w:val="00CA4C41"/>
  </w:style>
  <w:style w:type="paragraph" w:styleId="Title">
    <w:name w:val="Title"/>
    <w:basedOn w:val="Normal"/>
    <w:next w:val="Normal"/>
    <w:link w:val="TitleChar"/>
    <w:uiPriority w:val="10"/>
    <w:qFormat/>
    <w:rsid w:val="00CA4C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C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isaid.org" TargetMode="External"/><Relationship Id="rId18" Type="http://schemas.openxmlformats.org/officeDocument/2006/relationships/hyperlink" Target="https://www.ibge.gov.br/estatisticas/sociais/populacao/9109-projecao-da-populacao.html?=&amp;t=o-que-e" TargetMode="Externa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mailto:cvictora@gmail.com" TargetMode="External"/><Relationship Id="rId12" Type="http://schemas.openxmlformats.org/officeDocument/2006/relationships/hyperlink" Target="https://portal.fiocruz.br/noticia/fiocruz-detecta-mutacao-associada-variantes-de-preocupacao-no-pais" TargetMode="External"/><Relationship Id="rId17" Type="http://schemas.openxmlformats.org/officeDocument/2006/relationships/hyperlink" Target="https://www.who.int/standards/classifications/classification-of-diseases/emergency-use-icd-codes-for-covid-19-disease-outbre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datasus.gov.br/DATASUS/index.php?area=0607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saude.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il/en/departments/news/20022021-01" TargetMode="External"/><Relationship Id="rId23"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hyperlink" Target="https://qsprod.saude.gov.br/extensions/DEMAS_C19VAC_Distr/DEMAS_C19VAC_Distr.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opendatasus.saude.gov.br/dataset/covid-19-vacinacao"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vict\Dropbox%20(ICEH)\Equity%20Centre%20-%20management\Covid%20vacina%20obitos\Paper\Revised%20202105\Deaths%20by%20age%20and%20cause%20202106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vict\Dropbox%20(ICEH)\Equity%20Centre%20-%20management\Covid%20vacina%20obitos\Paper\Revised%20202105\Deaths%20by%20age%20and%20cause%20202106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vict\Dropbox%20(ICEH)\Equity%20Centre%20-%20management\Covid%20vacina%20obitos\Paper\Revised%20202105\Deaths%20by%20age%20and%20cause%202021061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vict\Dropbox%20(ICEH)\Equity%20Centre%20-%20management\Covid%20vacina%20obitos\Paper\Revised%20202105\Deaths%20by%20age%20and%20cause%20202106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vict\Downloads\Dados%20grafic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vict\Downloads\Dados%20grafico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'80+ over all'!$AD$3</c:f>
              <c:strCache>
                <c:ptCount val="1"/>
                <c:pt idx="0">
                  <c:v>COVID 80+ y</c:v>
                </c:pt>
              </c:strCache>
            </c:strRef>
          </c:tx>
          <c:spPr>
            <a:ln w="28575" cap="rnd">
              <a:solidFill>
                <a:schemeClr val="accent2"/>
              </a:solidFill>
              <a:round/>
            </a:ln>
            <a:effectLst/>
          </c:spPr>
          <c:marker>
            <c:symbol val="none"/>
          </c:marker>
          <c:cat>
            <c:numRef>
              <c:f>'80+ over all'!$AC$4:$AC$22</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'80+ over all'!$AD$4:$AD$22</c:f>
              <c:numCache>
                <c:formatCode>0.0%</c:formatCode>
                <c:ptCount val="19"/>
                <c:pt idx="0">
                  <c:v>0.27969348659003829</c:v>
                </c:pt>
                <c:pt idx="1">
                  <c:v>0.28120769022474951</c:v>
                </c:pt>
                <c:pt idx="2">
                  <c:v>0.27451232032854211</c:v>
                </c:pt>
                <c:pt idx="3">
                  <c:v>0.27926638917793967</c:v>
                </c:pt>
                <c:pt idx="4">
                  <c:v>0.27758924935523277</c:v>
                </c:pt>
                <c:pt idx="5">
                  <c:v>0.26823292014989908</c:v>
                </c:pt>
                <c:pt idx="6">
                  <c:v>0.25655534087772564</c:v>
                </c:pt>
                <c:pt idx="7">
                  <c:v>0.24561805475999543</c:v>
                </c:pt>
                <c:pt idx="8">
                  <c:v>0.24154343022267549</c:v>
                </c:pt>
                <c:pt idx="9">
                  <c:v>0.21368616646376626</c:v>
                </c:pt>
                <c:pt idx="10">
                  <c:v>0.20206613612772478</c:v>
                </c:pt>
                <c:pt idx="11">
                  <c:v>0.17862371888726208</c:v>
                </c:pt>
                <c:pt idx="12">
                  <c:v>0.15126486486486487</c:v>
                </c:pt>
                <c:pt idx="13">
                  <c:v>0.13808668640489249</c:v>
                </c:pt>
                <c:pt idx="14">
                  <c:v>0.12872797107998193</c:v>
                </c:pt>
                <c:pt idx="15">
                  <c:v>0.12361213915618061</c:v>
                </c:pt>
                <c:pt idx="16">
                  <c:v>0.11849802371541501</c:v>
                </c:pt>
                <c:pt idx="17">
                  <c:v>0.11594062287765597</c:v>
                </c:pt>
                <c:pt idx="18">
                  <c:v>0.12431596478705687</c:v>
                </c:pt>
              </c:numCache>
            </c:numRef>
          </c:val>
          <c:smooth val="0"/>
          <c:extLst>
            <c:ext xmlns:c16="http://schemas.microsoft.com/office/drawing/2014/chart" uri="{C3380CC4-5D6E-409C-BE32-E72D297353CC}">
              <c16:uniqueId val="{00000000-C9FB-47D4-B4B0-14DE67FFB84B}"/>
            </c:ext>
          </c:extLst>
        </c:ser>
        <c:ser>
          <c:idx val="1"/>
          <c:order val="1"/>
          <c:tx>
            <c:strRef>
              <c:f>'80+ over all'!$AE$3</c:f>
              <c:strCache>
                <c:ptCount val="1"/>
                <c:pt idx="0">
                  <c:v>Other 80+ y</c:v>
                </c:pt>
              </c:strCache>
            </c:strRef>
          </c:tx>
          <c:spPr>
            <a:ln w="28575" cap="rnd">
              <a:solidFill>
                <a:schemeClr val="accent2"/>
              </a:solidFill>
              <a:prstDash val="sysDash"/>
              <a:round/>
            </a:ln>
            <a:effectLst/>
          </c:spPr>
          <c:marker>
            <c:symbol val="none"/>
          </c:marker>
          <c:cat>
            <c:numRef>
              <c:f>'80+ over all'!$AC$4:$AC$22</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'80+ over all'!$AE$4:$AE$22</c:f>
              <c:numCache>
                <c:formatCode>0.0%</c:formatCode>
                <c:ptCount val="19"/>
                <c:pt idx="0">
                  <c:v>0.294037412314887</c:v>
                </c:pt>
                <c:pt idx="1">
                  <c:v>0.28900934148310459</c:v>
                </c:pt>
                <c:pt idx="2">
                  <c:v>0.28945699564011096</c:v>
                </c:pt>
                <c:pt idx="3">
                  <c:v>0.29230348278153462</c:v>
                </c:pt>
                <c:pt idx="4">
                  <c:v>0.29952153110047847</c:v>
                </c:pt>
                <c:pt idx="5">
                  <c:v>0.29266143246274634</c:v>
                </c:pt>
                <c:pt idx="6">
                  <c:v>0.29121210901332473</c:v>
                </c:pt>
                <c:pt idx="7">
                  <c:v>0.2943618535505298</c:v>
                </c:pt>
                <c:pt idx="8">
                  <c:v>0.2954473850031506</c:v>
                </c:pt>
                <c:pt idx="9">
                  <c:v>0.29659487888210678</c:v>
                </c:pt>
                <c:pt idx="10">
                  <c:v>0.29252262740826979</c:v>
                </c:pt>
                <c:pt idx="11">
                  <c:v>0.28628018587643789</c:v>
                </c:pt>
                <c:pt idx="12">
                  <c:v>0.28366169154228854</c:v>
                </c:pt>
                <c:pt idx="13">
                  <c:v>0.27973370887210347</c:v>
                </c:pt>
                <c:pt idx="14">
                  <c:v>0.27634318111352263</c:v>
                </c:pt>
                <c:pt idx="15">
                  <c:v>0.28103614568502272</c:v>
                </c:pt>
                <c:pt idx="16">
                  <c:v>0.27777777777777779</c:v>
                </c:pt>
                <c:pt idx="17">
                  <c:v>0.28744992447625928</c:v>
                </c:pt>
                <c:pt idx="18">
                  <c:v>0.29571831869510667</c:v>
                </c:pt>
              </c:numCache>
            </c:numRef>
          </c:val>
          <c:smooth val="0"/>
          <c:extLst>
            <c:ext xmlns:c16="http://schemas.microsoft.com/office/drawing/2014/chart" uri="{C3380CC4-5D6E-409C-BE32-E72D297353CC}">
              <c16:uniqueId val="{00000001-C9FB-47D4-B4B0-14DE67FFB84B}"/>
            </c:ext>
          </c:extLst>
        </c:ser>
        <c:ser>
          <c:idx val="2"/>
          <c:order val="2"/>
          <c:tx>
            <c:strRef>
              <c:f>'80+ over all'!$AF$3</c:f>
              <c:strCache>
                <c:ptCount val="1"/>
                <c:pt idx="0">
                  <c:v>COVID 70-79 y</c:v>
                </c:pt>
              </c:strCache>
            </c:strRef>
          </c:tx>
          <c:spPr>
            <a:ln w="28575" cap="rnd">
              <a:solidFill>
                <a:schemeClr val="accent5">
                  <a:lumMod val="75000"/>
                </a:schemeClr>
              </a:solidFill>
              <a:round/>
            </a:ln>
            <a:effectLst/>
          </c:spPr>
          <c:marker>
            <c:symbol val="none"/>
          </c:marker>
          <c:cat>
            <c:numRef>
              <c:f>'80+ over all'!$AC$4:$AC$22</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'80+ over all'!$AF$4:$AF$22</c:f>
              <c:numCache>
                <c:formatCode>0.0%</c:formatCode>
                <c:ptCount val="19"/>
                <c:pt idx="0">
                  <c:v>0.27704096669613909</c:v>
                </c:pt>
                <c:pt idx="1">
                  <c:v>0.2679393447062009</c:v>
                </c:pt>
                <c:pt idx="2">
                  <c:v>0.27823408624229978</c:v>
                </c:pt>
                <c:pt idx="3">
                  <c:v>0.27081165452653488</c:v>
                </c:pt>
                <c:pt idx="4">
                  <c:v>0.25464911089995929</c:v>
                </c:pt>
                <c:pt idx="5">
                  <c:v>0.25713462092822137</c:v>
                </c:pt>
                <c:pt idx="6">
                  <c:v>0.25407121170300856</c:v>
                </c:pt>
                <c:pt idx="7">
                  <c:v>0.2552411501890251</c:v>
                </c:pt>
                <c:pt idx="8">
                  <c:v>0.24060853306136326</c:v>
                </c:pt>
                <c:pt idx="9">
                  <c:v>0.25975523803421541</c:v>
                </c:pt>
                <c:pt idx="10">
                  <c:v>0.24749147348129108</c:v>
                </c:pt>
                <c:pt idx="11">
                  <c:v>0.24967703040220482</c:v>
                </c:pt>
                <c:pt idx="12">
                  <c:v>0.25422702702702704</c:v>
                </c:pt>
                <c:pt idx="13">
                  <c:v>0.2502548172596224</c:v>
                </c:pt>
                <c:pt idx="14">
                  <c:v>0.24779710799819249</c:v>
                </c:pt>
                <c:pt idx="15">
                  <c:v>0.23598681111634479</c:v>
                </c:pt>
                <c:pt idx="16">
                  <c:v>0.20980237154150197</c:v>
                </c:pt>
                <c:pt idx="17">
                  <c:v>0.1865722324633744</c:v>
                </c:pt>
                <c:pt idx="18">
                  <c:v>0.16262193671187247</c:v>
                </c:pt>
              </c:numCache>
            </c:numRef>
          </c:val>
          <c:smooth val="0"/>
          <c:extLst>
            <c:ext xmlns:c16="http://schemas.microsoft.com/office/drawing/2014/chart" uri="{C3380CC4-5D6E-409C-BE32-E72D297353CC}">
              <c16:uniqueId val="{00000002-C9FB-47D4-B4B0-14DE67FFB84B}"/>
            </c:ext>
          </c:extLst>
        </c:ser>
        <c:ser>
          <c:idx val="3"/>
          <c:order val="3"/>
          <c:tx>
            <c:strRef>
              <c:f>'80+ over all'!$AG$3</c:f>
              <c:strCache>
                <c:ptCount val="1"/>
                <c:pt idx="0">
                  <c:v>Other 70-79 y</c:v>
                </c:pt>
              </c:strCache>
            </c:strRef>
          </c:tx>
          <c:spPr>
            <a:ln w="28575" cap="rnd">
              <a:solidFill>
                <a:srgbClr val="0070C0"/>
              </a:solidFill>
              <a:prstDash val="sysDash"/>
              <a:round/>
            </a:ln>
            <a:effectLst/>
          </c:spPr>
          <c:marker>
            <c:symbol val="none"/>
          </c:marker>
          <c:cat>
            <c:numRef>
              <c:f>'80+ over all'!$AC$4:$AC$22</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'80+ over all'!$AG$4:$AG$22</c:f>
              <c:numCache>
                <c:formatCode>0.0%</c:formatCode>
                <c:ptCount val="19"/>
                <c:pt idx="0">
                  <c:v>0.20693686671862821</c:v>
                </c:pt>
                <c:pt idx="1">
                  <c:v>0.20328297389766656</c:v>
                </c:pt>
                <c:pt idx="2">
                  <c:v>0.20689655172413793</c:v>
                </c:pt>
                <c:pt idx="3">
                  <c:v>0.21264120705155767</c:v>
                </c:pt>
                <c:pt idx="4">
                  <c:v>0.20704306220095695</c:v>
                </c:pt>
                <c:pt idx="5">
                  <c:v>0.21310687389841371</c:v>
                </c:pt>
                <c:pt idx="6">
                  <c:v>0.20945211545428927</c:v>
                </c:pt>
                <c:pt idx="7">
                  <c:v>0.20820812905266486</c:v>
                </c:pt>
                <c:pt idx="8">
                  <c:v>0.20415879017013233</c:v>
                </c:pt>
                <c:pt idx="9">
                  <c:v>0.20952819685976429</c:v>
                </c:pt>
                <c:pt idx="10">
                  <c:v>0.2141435385135389</c:v>
                </c:pt>
                <c:pt idx="11">
                  <c:v>0.21482440770930145</c:v>
                </c:pt>
                <c:pt idx="12">
                  <c:v>0.21914427860696517</c:v>
                </c:pt>
                <c:pt idx="13">
                  <c:v>0.2151239704689967</c:v>
                </c:pt>
                <c:pt idx="14">
                  <c:v>0.21681357133365814</c:v>
                </c:pt>
                <c:pt idx="15">
                  <c:v>0.21081155559638085</c:v>
                </c:pt>
                <c:pt idx="16">
                  <c:v>0.21137566137566138</c:v>
                </c:pt>
                <c:pt idx="17">
                  <c:v>0.2071977408550601</c:v>
                </c:pt>
                <c:pt idx="18">
                  <c:v>0.20741844416562108</c:v>
                </c:pt>
              </c:numCache>
            </c:numRef>
          </c:val>
          <c:smooth val="0"/>
          <c:extLst>
            <c:ext xmlns:c16="http://schemas.microsoft.com/office/drawing/2014/chart" uri="{C3380CC4-5D6E-409C-BE32-E72D297353CC}">
              <c16:uniqueId val="{00000003-C9FB-47D4-B4B0-14DE67FFB84B}"/>
            </c:ext>
          </c:extLst>
        </c:ser>
        <c:dLbls>
          <c:showLegendKey val="0"/>
          <c:showVal val="0"/>
          <c:showCatName val="0"/>
          <c:showSerName val="0"/>
          <c:showPercent val="0"/>
          <c:showBubbleSize val="0"/>
        </c:dLbls>
        <c:smooth val="0"/>
        <c:axId val="1601764384"/>
        <c:axId val="1601767712"/>
      </c:lineChart>
      <c:catAx>
        <c:axId val="1601764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Epidemiological weeks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01767712"/>
        <c:crosses val="autoZero"/>
        <c:auto val="1"/>
        <c:lblAlgn val="ctr"/>
        <c:lblOffset val="100"/>
        <c:noMultiLvlLbl val="0"/>
      </c:catAx>
      <c:valAx>
        <c:axId val="160176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Proportionate mortality (%</a:t>
                </a:r>
                <a:r>
                  <a:rPr lang="en-US" baseline="0"/>
                  <a:t> of all deaths)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0176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Rates!$J$16</c:f>
              <c:strCache>
                <c:ptCount val="1"/>
                <c:pt idx="0">
                  <c:v>COVID 70-79 y</c:v>
                </c:pt>
              </c:strCache>
            </c:strRef>
          </c:tx>
          <c:spPr>
            <a:ln w="28575" cap="rnd">
              <a:solidFill>
                <a:schemeClr val="accent1"/>
              </a:solidFill>
              <a:round/>
            </a:ln>
            <a:effectLst/>
          </c:spPr>
          <c:marker>
            <c:symbol val="none"/>
          </c:marker>
          <c:val>
            <c:numRef>
              <c:f>Rates!$J$17:$J$35</c:f>
              <c:numCache>
                <c:formatCode>0.0</c:formatCode>
                <c:ptCount val="19"/>
                <c:pt idx="0">
                  <c:v>13.751822915568134</c:v>
                </c:pt>
                <c:pt idx="1">
                  <c:v>13.076207831788274</c:v>
                </c:pt>
                <c:pt idx="2">
                  <c:v>13.6878976555302</c:v>
                </c:pt>
                <c:pt idx="3">
                  <c:v>13.243733014264404</c:v>
                </c:pt>
                <c:pt idx="4">
                  <c:v>11.978372508232535</c:v>
                </c:pt>
                <c:pt idx="5">
                  <c:v>11.920195362951011</c:v>
                </c:pt>
                <c:pt idx="6">
                  <c:v>11.423398076733642</c:v>
                </c:pt>
                <c:pt idx="7">
                  <c:v>11.251434089836421</c:v>
                </c:pt>
                <c:pt idx="8">
                  <c:v>10.223249151215727</c:v>
                </c:pt>
                <c:pt idx="9">
                  <c:v>10.854201041560129</c:v>
                </c:pt>
                <c:pt idx="10">
                  <c:v>9.893013985380696</c:v>
                </c:pt>
                <c:pt idx="11">
                  <c:v>9.609288251215915</c:v>
                </c:pt>
                <c:pt idx="12">
                  <c:v>9.4090156439482175</c:v>
                </c:pt>
                <c:pt idx="13">
                  <c:v>9.0023042631543326</c:v>
                </c:pt>
                <c:pt idx="14">
                  <c:v>8.7449533800467343</c:v>
                </c:pt>
                <c:pt idx="15">
                  <c:v>8.1080412676091118</c:v>
                </c:pt>
                <c:pt idx="16">
                  <c:v>6.8725127490489024</c:v>
                </c:pt>
                <c:pt idx="17">
                  <c:v>5.8856042212574824</c:v>
                </c:pt>
                <c:pt idx="18">
                  <c:v>5.0180158626844555</c:v>
                </c:pt>
              </c:numCache>
            </c:numRef>
          </c:val>
          <c:smooth val="0"/>
          <c:extLst>
            <c:ext xmlns:c16="http://schemas.microsoft.com/office/drawing/2014/chart" uri="{C3380CC4-5D6E-409C-BE32-E72D297353CC}">
              <c16:uniqueId val="{00000000-8960-4DAA-903B-BAB7E1153E39}"/>
            </c:ext>
          </c:extLst>
        </c:ser>
        <c:ser>
          <c:idx val="1"/>
          <c:order val="1"/>
          <c:tx>
            <c:strRef>
              <c:f>Rates!$K$16</c:f>
              <c:strCache>
                <c:ptCount val="1"/>
                <c:pt idx="0">
                  <c:v>COVID 80+ y</c:v>
                </c:pt>
              </c:strCache>
            </c:strRef>
          </c:tx>
          <c:spPr>
            <a:ln w="28575" cap="rnd">
              <a:solidFill>
                <a:schemeClr val="accent2"/>
              </a:solidFill>
              <a:round/>
            </a:ln>
            <a:effectLst/>
          </c:spPr>
          <c:marker>
            <c:symbol val="none"/>
          </c:marker>
          <c:val>
            <c:numRef>
              <c:f>Rates!$K$17:$K$35</c:f>
              <c:numCache>
                <c:formatCode>0.0</c:formatCode>
                <c:ptCount val="19"/>
                <c:pt idx="0">
                  <c:v>29.065516524383931</c:v>
                </c:pt>
                <c:pt idx="1">
                  <c:v>28.731078721398767</c:v>
                </c:pt>
                <c:pt idx="2">
                  <c:v>28.272725145359836</c:v>
                </c:pt>
                <c:pt idx="3">
                  <c:v>28.591777234108626</c:v>
                </c:pt>
                <c:pt idx="4">
                  <c:v>27.336172622590531</c:v>
                </c:pt>
                <c:pt idx="5">
                  <c:v>26.03240615541581</c:v>
                </c:pt>
                <c:pt idx="6">
                  <c:v>24.149065394665421</c:v>
                </c:pt>
                <c:pt idx="7">
                  <c:v>22.667148515568211</c:v>
                </c:pt>
                <c:pt idx="8">
                  <c:v>21.485851240319814</c:v>
                </c:pt>
                <c:pt idx="9">
                  <c:v>18.693446112361478</c:v>
                </c:pt>
                <c:pt idx="10">
                  <c:v>16.909911470419654</c:v>
                </c:pt>
                <c:pt idx="11">
                  <c:v>14.392332143990185</c:v>
                </c:pt>
                <c:pt idx="12">
                  <c:v>11.720332989954333</c:v>
                </c:pt>
                <c:pt idx="13">
                  <c:v>10.399260671141061</c:v>
                </c:pt>
                <c:pt idx="14">
                  <c:v>9.5107245653765826</c:v>
                </c:pt>
                <c:pt idx="15">
                  <c:v>8.8913714937665329</c:v>
                </c:pt>
                <c:pt idx="16">
                  <c:v>8.1263529993363406</c:v>
                </c:pt>
                <c:pt idx="17">
                  <c:v>7.657007821624326</c:v>
                </c:pt>
                <c:pt idx="18">
                  <c:v>8.0308075921098023</c:v>
                </c:pt>
              </c:numCache>
            </c:numRef>
          </c:val>
          <c:smooth val="0"/>
          <c:extLst>
            <c:ext xmlns:c16="http://schemas.microsoft.com/office/drawing/2014/chart" uri="{C3380CC4-5D6E-409C-BE32-E72D297353CC}">
              <c16:uniqueId val="{00000001-8960-4DAA-903B-BAB7E1153E39}"/>
            </c:ext>
          </c:extLst>
        </c:ser>
        <c:ser>
          <c:idx val="2"/>
          <c:order val="2"/>
          <c:tx>
            <c:strRef>
              <c:f>Rates!$L$16</c:f>
              <c:strCache>
                <c:ptCount val="1"/>
                <c:pt idx="0">
                  <c:v>Other 70-79 y</c:v>
                </c:pt>
              </c:strCache>
            </c:strRef>
          </c:tx>
          <c:spPr>
            <a:ln w="28575" cap="rnd">
              <a:solidFill>
                <a:schemeClr val="accent1"/>
              </a:solidFill>
              <a:prstDash val="sysDash"/>
              <a:round/>
            </a:ln>
            <a:effectLst/>
          </c:spPr>
          <c:marker>
            <c:symbol val="none"/>
          </c:marker>
          <c:val>
            <c:numRef>
              <c:f>Rates!$L$17:$L$35</c:f>
              <c:numCache>
                <c:formatCode>0.0</c:formatCode>
                <c:ptCount val="19"/>
                <c:pt idx="0">
                  <c:v>9.12420831633478</c:v>
                </c:pt>
                <c:pt idx="1">
                  <c:v>8.8098298874868526</c:v>
                </c:pt>
                <c:pt idx="2">
                  <c:v>9.0387365224541636</c:v>
                </c:pt>
                <c:pt idx="3">
                  <c:v>9.450917225195818</c:v>
                </c:pt>
                <c:pt idx="4">
                  <c:v>9.2323152773634973</c:v>
                </c:pt>
                <c:pt idx="5">
                  <c:v>9.4873980108053146</c:v>
                </c:pt>
                <c:pt idx="6">
                  <c:v>9.2293756374977107</c:v>
                </c:pt>
                <c:pt idx="7">
                  <c:v>9.2097098130046007</c:v>
                </c:pt>
                <c:pt idx="8">
                  <c:v>8.9771068779228962</c:v>
                </c:pt>
                <c:pt idx="9">
                  <c:v>9.3347780145412695</c:v>
                </c:pt>
                <c:pt idx="10">
                  <c:v>9.5509006412386714</c:v>
                </c:pt>
                <c:pt idx="11">
                  <c:v>9.4744579317519353</c:v>
                </c:pt>
                <c:pt idx="12">
                  <c:v>9.6980514855098487</c:v>
                </c:pt>
                <c:pt idx="13">
                  <c:v>9.3703390139229814</c:v>
                </c:pt>
                <c:pt idx="14">
                  <c:v>9.4122412894109626</c:v>
                </c:pt>
                <c:pt idx="15">
                  <c:v>9.1281080524161577</c:v>
                </c:pt>
                <c:pt idx="16">
                  <c:v>9.1042622554439685</c:v>
                </c:pt>
                <c:pt idx="17">
                  <c:v>9.0213388015318969</c:v>
                </c:pt>
                <c:pt idx="18">
                  <c:v>9.1852453564842715</c:v>
                </c:pt>
              </c:numCache>
            </c:numRef>
          </c:val>
          <c:smooth val="0"/>
          <c:extLst>
            <c:ext xmlns:c16="http://schemas.microsoft.com/office/drawing/2014/chart" uri="{C3380CC4-5D6E-409C-BE32-E72D297353CC}">
              <c16:uniqueId val="{00000002-8960-4DAA-903B-BAB7E1153E39}"/>
            </c:ext>
          </c:extLst>
        </c:ser>
        <c:ser>
          <c:idx val="3"/>
          <c:order val="3"/>
          <c:tx>
            <c:strRef>
              <c:f>Rates!$M$16</c:f>
              <c:strCache>
                <c:ptCount val="1"/>
                <c:pt idx="0">
                  <c:v>Other 80+ y</c:v>
                </c:pt>
              </c:strCache>
            </c:strRef>
          </c:tx>
          <c:spPr>
            <a:ln w="28575" cap="rnd">
              <a:solidFill>
                <a:schemeClr val="accent2"/>
              </a:solidFill>
              <a:prstDash val="sysDash"/>
              <a:round/>
            </a:ln>
            <a:effectLst/>
          </c:spPr>
          <c:marker>
            <c:symbol val="none"/>
          </c:marker>
          <c:val>
            <c:numRef>
              <c:f>Rates!$M$17:$M$35</c:f>
              <c:numCache>
                <c:formatCode>0.0</c:formatCode>
                <c:ptCount val="19"/>
                <c:pt idx="0">
                  <c:v>27.14184277113014</c:v>
                </c:pt>
                <c:pt idx="1">
                  <c:v>26.221516949364901</c:v>
                </c:pt>
                <c:pt idx="2">
                  <c:v>26.473900957577634</c:v>
                </c:pt>
                <c:pt idx="3">
                  <c:v>27.198185767410077</c:v>
                </c:pt>
                <c:pt idx="4">
                  <c:v>27.961303073959886</c:v>
                </c:pt>
                <c:pt idx="5">
                  <c:v>27.276872332500407</c:v>
                </c:pt>
                <c:pt idx="6">
                  <c:v>26.864354881293572</c:v>
                </c:pt>
                <c:pt idx="7">
                  <c:v>27.258955382663334</c:v>
                </c:pt>
                <c:pt idx="8">
                  <c:v>27.197430639686509</c:v>
                </c:pt>
                <c:pt idx="9">
                  <c:v>27.663337948039892</c:v>
                </c:pt>
                <c:pt idx="10">
                  <c:v>27.313555228456501</c:v>
                </c:pt>
                <c:pt idx="11">
                  <c:v>26.432695584819175</c:v>
                </c:pt>
                <c:pt idx="12">
                  <c:v>26.280550144210615</c:v>
                </c:pt>
                <c:pt idx="13">
                  <c:v>25.508840452435926</c:v>
                </c:pt>
                <c:pt idx="14">
                  <c:v>25.115091038012441</c:v>
                </c:pt>
                <c:pt idx="15">
                  <c:v>25.47580729663191</c:v>
                </c:pt>
                <c:pt idx="16">
                  <c:v>25.047633173411629</c:v>
                </c:pt>
                <c:pt idx="17">
                  <c:v>26.20158667810809</c:v>
                </c:pt>
                <c:pt idx="18">
                  <c:v>27.415806921864775</c:v>
                </c:pt>
              </c:numCache>
            </c:numRef>
          </c:val>
          <c:smooth val="0"/>
          <c:extLst>
            <c:ext xmlns:c16="http://schemas.microsoft.com/office/drawing/2014/chart" uri="{C3380CC4-5D6E-409C-BE32-E72D297353CC}">
              <c16:uniqueId val="{00000003-8960-4DAA-903B-BAB7E1153E39}"/>
            </c:ext>
          </c:extLst>
        </c:ser>
        <c:dLbls>
          <c:showLegendKey val="0"/>
          <c:showVal val="0"/>
          <c:showCatName val="0"/>
          <c:showSerName val="0"/>
          <c:showPercent val="0"/>
          <c:showBubbleSize val="0"/>
        </c:dLbls>
        <c:smooth val="0"/>
        <c:axId val="614360768"/>
        <c:axId val="614337472"/>
      </c:lineChart>
      <c:catAx>
        <c:axId val="614360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Epidemiological weeks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614337472"/>
        <c:crosses val="autoZero"/>
        <c:auto val="1"/>
        <c:lblAlgn val="ctr"/>
        <c:lblOffset val="100"/>
        <c:noMultiLvlLbl val="0"/>
      </c:catAx>
      <c:valAx>
        <c:axId val="614337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ratio compared to 0-69 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61436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Coverage!$P$5</c:f>
              <c:strCache>
                <c:ptCount val="1"/>
                <c:pt idx="0">
                  <c:v>0-69</c:v>
                </c:pt>
              </c:strCache>
            </c:strRef>
          </c:tx>
          <c:spPr>
            <a:ln w="28575" cap="rnd">
              <a:solidFill>
                <a:schemeClr val="bg1">
                  <a:lumMod val="50000"/>
                </a:schemeClr>
              </a:solidFill>
              <a:round/>
            </a:ln>
            <a:effectLst/>
          </c:spPr>
          <c:marker>
            <c:symbol val="none"/>
          </c:marker>
          <c:val>
            <c:numRef>
              <c:f>Coverage!$P$6:$P$26</c:f>
              <c:numCache>
                <c:formatCode>0.0%</c:formatCode>
                <c:ptCount val="21"/>
                <c:pt idx="0">
                  <c:v>2.0676046581141651E-7</c:v>
                </c:pt>
                <c:pt idx="1">
                  <c:v>5.6095029934912473E-3</c:v>
                </c:pt>
                <c:pt idx="2">
                  <c:v>1.238486347091038E-2</c:v>
                </c:pt>
                <c:pt idx="3">
                  <c:v>1.7832784944764875E-2</c:v>
                </c:pt>
                <c:pt idx="4">
                  <c:v>2.0863492077699601E-2</c:v>
                </c:pt>
                <c:pt idx="5">
                  <c:v>2.2083785276673967E-2</c:v>
                </c:pt>
                <c:pt idx="6">
                  <c:v>2.2997538654569896E-2</c:v>
                </c:pt>
                <c:pt idx="7">
                  <c:v>2.4536241093131322E-2</c:v>
                </c:pt>
                <c:pt idx="8">
                  <c:v>2.5751084916046475E-2</c:v>
                </c:pt>
                <c:pt idx="9">
                  <c:v>2.7271497678395037E-2</c:v>
                </c:pt>
                <c:pt idx="10">
                  <c:v>3.3593962786320375E-2</c:v>
                </c:pt>
                <c:pt idx="11">
                  <c:v>4.794618327534831E-2</c:v>
                </c:pt>
                <c:pt idx="12">
                  <c:v>6.1385528644780453E-2</c:v>
                </c:pt>
                <c:pt idx="13">
                  <c:v>7.2072925084353076E-2</c:v>
                </c:pt>
                <c:pt idx="14">
                  <c:v>8.5675150163241773E-2</c:v>
                </c:pt>
                <c:pt idx="15">
                  <c:v>9.5445744239406397E-2</c:v>
                </c:pt>
                <c:pt idx="16">
                  <c:v>0.1109543153171942</c:v>
                </c:pt>
                <c:pt idx="17">
                  <c:v>0.12594145835004927</c:v>
                </c:pt>
                <c:pt idx="18">
                  <c:v>0.13932593555342274</c:v>
                </c:pt>
                <c:pt idx="19">
                  <c:v>0.15052574198380708</c:v>
                </c:pt>
                <c:pt idx="20">
                  <c:v>0.15109093582988142</c:v>
                </c:pt>
              </c:numCache>
            </c:numRef>
          </c:val>
          <c:smooth val="0"/>
          <c:extLst>
            <c:ext xmlns:c16="http://schemas.microsoft.com/office/drawing/2014/chart" uri="{C3380CC4-5D6E-409C-BE32-E72D297353CC}">
              <c16:uniqueId val="{00000000-246D-458C-B577-6426CD1C2934}"/>
            </c:ext>
          </c:extLst>
        </c:ser>
        <c:ser>
          <c:idx val="1"/>
          <c:order val="1"/>
          <c:tx>
            <c:strRef>
              <c:f>Coverage!$Q$5</c:f>
              <c:strCache>
                <c:ptCount val="1"/>
                <c:pt idx="0">
                  <c:v>70-79</c:v>
                </c:pt>
              </c:strCache>
            </c:strRef>
          </c:tx>
          <c:spPr>
            <a:ln w="28575" cap="rnd">
              <a:solidFill>
                <a:schemeClr val="accent1"/>
              </a:solidFill>
              <a:round/>
            </a:ln>
            <a:effectLst/>
          </c:spPr>
          <c:marker>
            <c:symbol val="none"/>
          </c:marker>
          <c:val>
            <c:numRef>
              <c:f>Coverage!$Q$6:$Q$26</c:f>
              <c:numCache>
                <c:formatCode>0.0%</c:formatCode>
                <c:ptCount val="21"/>
                <c:pt idx="0">
                  <c:v>1.11E-6</c:v>
                </c:pt>
                <c:pt idx="1">
                  <c:v>4.2029319999999995E-3</c:v>
                </c:pt>
                <c:pt idx="2">
                  <c:v>9.5780150000000005E-3</c:v>
                </c:pt>
                <c:pt idx="3">
                  <c:v>1.7142869999999998E-2</c:v>
                </c:pt>
                <c:pt idx="4">
                  <c:v>2.7187570000000001E-2</c:v>
                </c:pt>
                <c:pt idx="5">
                  <c:v>3.152249E-2</c:v>
                </c:pt>
                <c:pt idx="6">
                  <c:v>3.8505660000000004E-2</c:v>
                </c:pt>
                <c:pt idx="7">
                  <c:v>0.10573779999999999</c:v>
                </c:pt>
                <c:pt idx="8">
                  <c:v>0.192825</c:v>
                </c:pt>
                <c:pt idx="9">
                  <c:v>0.39486519999999997</c:v>
                </c:pt>
                <c:pt idx="10">
                  <c:v>0.74946830000000009</c:v>
                </c:pt>
                <c:pt idx="11">
                  <c:v>0.87995639999999997</c:v>
                </c:pt>
                <c:pt idx="12">
                  <c:v>0.90899510000000006</c:v>
                </c:pt>
                <c:pt idx="13">
                  <c:v>0.92100369999999998</c:v>
                </c:pt>
                <c:pt idx="14">
                  <c:v>0.93154490000000001</c:v>
                </c:pt>
                <c:pt idx="15">
                  <c:v>0.93651129999999994</c:v>
                </c:pt>
                <c:pt idx="16">
                  <c:v>0.94005870000000002</c:v>
                </c:pt>
                <c:pt idx="17">
                  <c:v>0.94256099999999998</c:v>
                </c:pt>
                <c:pt idx="18">
                  <c:v>0.94418550000000001</c:v>
                </c:pt>
                <c:pt idx="19">
                  <c:v>0.94545599999999996</c:v>
                </c:pt>
                <c:pt idx="20">
                  <c:v>0.94550030000000007</c:v>
                </c:pt>
              </c:numCache>
            </c:numRef>
          </c:val>
          <c:smooth val="0"/>
          <c:extLst>
            <c:ext xmlns:c16="http://schemas.microsoft.com/office/drawing/2014/chart" uri="{C3380CC4-5D6E-409C-BE32-E72D297353CC}">
              <c16:uniqueId val="{00000001-246D-458C-B577-6426CD1C2934}"/>
            </c:ext>
          </c:extLst>
        </c:ser>
        <c:ser>
          <c:idx val="2"/>
          <c:order val="2"/>
          <c:tx>
            <c:strRef>
              <c:f>Coverage!$R$5</c:f>
              <c:strCache>
                <c:ptCount val="1"/>
                <c:pt idx="0">
                  <c:v>80+</c:v>
                </c:pt>
              </c:strCache>
            </c:strRef>
          </c:tx>
          <c:spPr>
            <a:ln w="28575" cap="rnd">
              <a:solidFill>
                <a:schemeClr val="accent2"/>
              </a:solidFill>
              <a:round/>
            </a:ln>
            <a:effectLst/>
          </c:spPr>
          <c:marker>
            <c:symbol val="none"/>
          </c:marker>
          <c:val>
            <c:numRef>
              <c:f>Coverage!$R$6:$R$26</c:f>
              <c:numCache>
                <c:formatCode>0.0%</c:formatCode>
                <c:ptCount val="21"/>
                <c:pt idx="0">
                  <c:v>4.1806900000000006E-6</c:v>
                </c:pt>
                <c:pt idx="1">
                  <c:v>1.1438404056000001E-2</c:v>
                </c:pt>
                <c:pt idx="2">
                  <c:v>3.4451916919999999E-2</c:v>
                </c:pt>
                <c:pt idx="3">
                  <c:v>0.10763600331999999</c:v>
                </c:pt>
                <c:pt idx="4">
                  <c:v>0.29004425160000002</c:v>
                </c:pt>
                <c:pt idx="5">
                  <c:v>0.39193637419999999</c:v>
                </c:pt>
                <c:pt idx="6">
                  <c:v>0.49698858159999992</c:v>
                </c:pt>
                <c:pt idx="7">
                  <c:v>0.76194100440000001</c:v>
                </c:pt>
                <c:pt idx="8">
                  <c:v>0.87966036840000006</c:v>
                </c:pt>
                <c:pt idx="9">
                  <c:v>0.93013085439999998</c:v>
                </c:pt>
                <c:pt idx="10">
                  <c:v>0.95650257040000009</c:v>
                </c:pt>
                <c:pt idx="11">
                  <c:v>0.96760914779999996</c:v>
                </c:pt>
                <c:pt idx="12">
                  <c:v>0.97486677900000007</c:v>
                </c:pt>
                <c:pt idx="13">
                  <c:v>0.97899464260000002</c:v>
                </c:pt>
                <c:pt idx="14">
                  <c:v>0.98433132699999992</c:v>
                </c:pt>
                <c:pt idx="15">
                  <c:v>0.98675403239999993</c:v>
                </c:pt>
                <c:pt idx="16">
                  <c:v>0.98870465939999985</c:v>
                </c:pt>
                <c:pt idx="17">
                  <c:v>0.99024738979999993</c:v>
                </c:pt>
                <c:pt idx="18">
                  <c:v>0.99141671260000008</c:v>
                </c:pt>
                <c:pt idx="19">
                  <c:v>0.99276589599999998</c:v>
                </c:pt>
                <c:pt idx="20">
                  <c:v>0.99280924240000001</c:v>
                </c:pt>
              </c:numCache>
            </c:numRef>
          </c:val>
          <c:smooth val="0"/>
          <c:extLst>
            <c:ext xmlns:c16="http://schemas.microsoft.com/office/drawing/2014/chart" uri="{C3380CC4-5D6E-409C-BE32-E72D297353CC}">
              <c16:uniqueId val="{00000002-246D-458C-B577-6426CD1C2934}"/>
            </c:ext>
          </c:extLst>
        </c:ser>
        <c:dLbls>
          <c:showLegendKey val="0"/>
          <c:showVal val="0"/>
          <c:showCatName val="0"/>
          <c:showSerName val="0"/>
          <c:showPercent val="0"/>
          <c:showBubbleSize val="0"/>
        </c:dLbls>
        <c:smooth val="0"/>
        <c:axId val="333292240"/>
        <c:axId val="333292656"/>
      </c:lineChart>
      <c:catAx>
        <c:axId val="333292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Epidemiological weeks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33292656"/>
        <c:crosses val="autoZero"/>
        <c:auto val="1"/>
        <c:lblAlgn val="ctr"/>
        <c:lblOffset val="100"/>
        <c:noMultiLvlLbl val="0"/>
      </c:catAx>
      <c:valAx>
        <c:axId val="33329265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Vaccine coverage (1st dose)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3329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'By region'!$L$2</c:f>
              <c:strCache>
                <c:ptCount val="1"/>
                <c:pt idx="0">
                  <c:v>North</c:v>
                </c:pt>
              </c:strCache>
            </c:strRef>
          </c:tx>
          <c:spPr>
            <a:ln w="28575" cap="rnd">
              <a:solidFill>
                <a:schemeClr val="accent1"/>
              </a:solidFill>
              <a:round/>
            </a:ln>
            <a:effectLst/>
          </c:spPr>
          <c:marker>
            <c:symbol val="none"/>
          </c:marker>
          <c:val>
            <c:numRef>
              <c:f>'By region'!$L$3:$L$20</c:f>
              <c:numCache>
                <c:formatCode>0.0%</c:formatCode>
                <c:ptCount val="18"/>
                <c:pt idx="0">
                  <c:v>0.18944520000000001</c:v>
                </c:pt>
                <c:pt idx="1">
                  <c:v>0.1844741</c:v>
                </c:pt>
                <c:pt idx="2">
                  <c:v>0.17555080000000001</c:v>
                </c:pt>
                <c:pt idx="3">
                  <c:v>0.1985392</c:v>
                </c:pt>
                <c:pt idx="4">
                  <c:v>0.20600860000000001</c:v>
                </c:pt>
                <c:pt idx="5">
                  <c:v>0.20016749999999997</c:v>
                </c:pt>
                <c:pt idx="6">
                  <c:v>0.18783069999999999</c:v>
                </c:pt>
                <c:pt idx="7">
                  <c:v>0.1842105</c:v>
                </c:pt>
                <c:pt idx="8">
                  <c:v>0.18884889999999999</c:v>
                </c:pt>
                <c:pt idx="9">
                  <c:v>0.19950330000000002</c:v>
                </c:pt>
                <c:pt idx="10">
                  <c:v>0.16746739999999999</c:v>
                </c:pt>
                <c:pt idx="11">
                  <c:v>0.15264420000000001</c:v>
                </c:pt>
                <c:pt idx="12">
                  <c:v>0.13981759999999999</c:v>
                </c:pt>
                <c:pt idx="13">
                  <c:v>0.1195335</c:v>
                </c:pt>
                <c:pt idx="14">
                  <c:v>0.11619719999999999</c:v>
                </c:pt>
                <c:pt idx="15">
                  <c:v>0.13057669999999999</c:v>
                </c:pt>
                <c:pt idx="16">
                  <c:v>0.13194439999999999</c:v>
                </c:pt>
                <c:pt idx="17">
                  <c:v>0.14137930000000001</c:v>
                </c:pt>
              </c:numCache>
            </c:numRef>
          </c:val>
          <c:smooth val="0"/>
          <c:extLst>
            <c:ext xmlns:c16="http://schemas.microsoft.com/office/drawing/2014/chart" uri="{C3380CC4-5D6E-409C-BE32-E72D297353CC}">
              <c16:uniqueId val="{00000000-8430-4F6F-BBC1-FD902689E71F}"/>
            </c:ext>
          </c:extLst>
        </c:ser>
        <c:ser>
          <c:idx val="1"/>
          <c:order val="1"/>
          <c:tx>
            <c:strRef>
              <c:f>'By region'!$M$2</c:f>
              <c:strCache>
                <c:ptCount val="1"/>
                <c:pt idx="0">
                  <c:v>Northeast</c:v>
                </c:pt>
              </c:strCache>
            </c:strRef>
          </c:tx>
          <c:spPr>
            <a:ln w="28575" cap="rnd">
              <a:solidFill>
                <a:schemeClr val="accent2"/>
              </a:solidFill>
              <a:round/>
            </a:ln>
            <a:effectLst/>
          </c:spPr>
          <c:marker>
            <c:symbol val="none"/>
          </c:marker>
          <c:val>
            <c:numRef>
              <c:f>'By region'!$M$3:$M$20</c:f>
              <c:numCache>
                <c:formatCode>0.0%</c:formatCode>
                <c:ptCount val="18"/>
                <c:pt idx="0">
                  <c:v>0.30196079999999997</c:v>
                </c:pt>
                <c:pt idx="1">
                  <c:v>0.30385020000000001</c:v>
                </c:pt>
                <c:pt idx="2">
                  <c:v>0.32701419999999998</c:v>
                </c:pt>
                <c:pt idx="3">
                  <c:v>0.30992979999999998</c:v>
                </c:pt>
                <c:pt idx="4">
                  <c:v>0.30804809999999999</c:v>
                </c:pt>
                <c:pt idx="5">
                  <c:v>0.30450130000000003</c:v>
                </c:pt>
                <c:pt idx="6">
                  <c:v>0.2816265</c:v>
                </c:pt>
                <c:pt idx="7">
                  <c:v>0.2857981</c:v>
                </c:pt>
                <c:pt idx="8">
                  <c:v>0.26961679999999999</c:v>
                </c:pt>
                <c:pt idx="9">
                  <c:v>0.23924090000000001</c:v>
                </c:pt>
                <c:pt idx="10">
                  <c:v>0.24275670000000002</c:v>
                </c:pt>
                <c:pt idx="11">
                  <c:v>0.22312699999999999</c:v>
                </c:pt>
                <c:pt idx="12">
                  <c:v>0.18441060000000001</c:v>
                </c:pt>
                <c:pt idx="13">
                  <c:v>0.17728449999999998</c:v>
                </c:pt>
                <c:pt idx="14">
                  <c:v>0.1781807</c:v>
                </c:pt>
                <c:pt idx="15">
                  <c:v>0.16355459999999999</c:v>
                </c:pt>
                <c:pt idx="16">
                  <c:v>0.15872359999999999</c:v>
                </c:pt>
                <c:pt idx="17">
                  <c:v>0.14828659999999999</c:v>
                </c:pt>
              </c:numCache>
            </c:numRef>
          </c:val>
          <c:smooth val="0"/>
          <c:extLst>
            <c:ext xmlns:c16="http://schemas.microsoft.com/office/drawing/2014/chart" uri="{C3380CC4-5D6E-409C-BE32-E72D297353CC}">
              <c16:uniqueId val="{00000001-8430-4F6F-BBC1-FD902689E71F}"/>
            </c:ext>
          </c:extLst>
        </c:ser>
        <c:ser>
          <c:idx val="2"/>
          <c:order val="2"/>
          <c:tx>
            <c:strRef>
              <c:f>'By region'!$N$2</c:f>
              <c:strCache>
                <c:ptCount val="1"/>
                <c:pt idx="0">
                  <c:v>Southeast</c:v>
                </c:pt>
              </c:strCache>
            </c:strRef>
          </c:tx>
          <c:spPr>
            <a:ln w="28575" cap="rnd">
              <a:solidFill>
                <a:schemeClr val="accent3"/>
              </a:solidFill>
              <a:round/>
            </a:ln>
            <a:effectLst/>
          </c:spPr>
          <c:marker>
            <c:symbol val="none"/>
          </c:marker>
          <c:val>
            <c:numRef>
              <c:f>'By region'!$N$3:$N$20</c:f>
              <c:numCache>
                <c:formatCode>0.0%</c:formatCode>
                <c:ptCount val="18"/>
                <c:pt idx="0">
                  <c:v>0.29303400000000002</c:v>
                </c:pt>
                <c:pt idx="1">
                  <c:v>0.3046683</c:v>
                </c:pt>
                <c:pt idx="2">
                  <c:v>0.29904810000000004</c:v>
                </c:pt>
                <c:pt idx="3">
                  <c:v>0.30244290000000001</c:v>
                </c:pt>
                <c:pt idx="4">
                  <c:v>0.30600460000000002</c:v>
                </c:pt>
                <c:pt idx="5">
                  <c:v>0.2869678</c:v>
                </c:pt>
                <c:pt idx="6">
                  <c:v>0.26786300000000002</c:v>
                </c:pt>
                <c:pt idx="7">
                  <c:v>0.26358379999999998</c:v>
                </c:pt>
                <c:pt idx="8">
                  <c:v>0.25333040000000001</c:v>
                </c:pt>
                <c:pt idx="9">
                  <c:v>0.22174289999999999</c:v>
                </c:pt>
                <c:pt idx="10">
                  <c:v>0.20796410000000001</c:v>
                </c:pt>
                <c:pt idx="11">
                  <c:v>0.18109600000000001</c:v>
                </c:pt>
                <c:pt idx="12">
                  <c:v>0.1520339</c:v>
                </c:pt>
                <c:pt idx="13">
                  <c:v>0.1367911</c:v>
                </c:pt>
                <c:pt idx="14">
                  <c:v>0.12472860000000001</c:v>
                </c:pt>
                <c:pt idx="15">
                  <c:v>0.11631280000000001</c:v>
                </c:pt>
                <c:pt idx="16">
                  <c:v>0.1121452</c:v>
                </c:pt>
                <c:pt idx="17">
                  <c:v>0.1163662</c:v>
                </c:pt>
              </c:numCache>
            </c:numRef>
          </c:val>
          <c:smooth val="0"/>
          <c:extLst>
            <c:ext xmlns:c16="http://schemas.microsoft.com/office/drawing/2014/chart" uri="{C3380CC4-5D6E-409C-BE32-E72D297353CC}">
              <c16:uniqueId val="{00000002-8430-4F6F-BBC1-FD902689E71F}"/>
            </c:ext>
          </c:extLst>
        </c:ser>
        <c:ser>
          <c:idx val="3"/>
          <c:order val="3"/>
          <c:tx>
            <c:strRef>
              <c:f>'By region'!$O$2</c:f>
              <c:strCache>
                <c:ptCount val="1"/>
                <c:pt idx="0">
                  <c:v>South</c:v>
                </c:pt>
              </c:strCache>
            </c:strRef>
          </c:tx>
          <c:spPr>
            <a:ln w="28575" cap="rnd">
              <a:solidFill>
                <a:schemeClr val="accent4"/>
              </a:solidFill>
              <a:round/>
            </a:ln>
            <a:effectLst/>
          </c:spPr>
          <c:marker>
            <c:symbol val="none"/>
          </c:marker>
          <c:val>
            <c:numRef>
              <c:f>'By region'!$O$3:$O$20</c:f>
              <c:numCache>
                <c:formatCode>0.0%</c:formatCode>
                <c:ptCount val="18"/>
                <c:pt idx="0">
                  <c:v>0.28000000000000003</c:v>
                </c:pt>
                <c:pt idx="1">
                  <c:v>0.29470800000000003</c:v>
                </c:pt>
                <c:pt idx="2">
                  <c:v>0.26640550000000002</c:v>
                </c:pt>
                <c:pt idx="3">
                  <c:v>0.28267799999999998</c:v>
                </c:pt>
                <c:pt idx="4">
                  <c:v>0.27777780000000002</c:v>
                </c:pt>
                <c:pt idx="5">
                  <c:v>0.27424399999999999</c:v>
                </c:pt>
                <c:pt idx="6">
                  <c:v>0.28125</c:v>
                </c:pt>
                <c:pt idx="7">
                  <c:v>0.2308528</c:v>
                </c:pt>
                <c:pt idx="8">
                  <c:v>0.2342342</c:v>
                </c:pt>
                <c:pt idx="9">
                  <c:v>0.20153690000000002</c:v>
                </c:pt>
                <c:pt idx="10">
                  <c:v>0.19084610000000002</c:v>
                </c:pt>
                <c:pt idx="11">
                  <c:v>0.16617480000000001</c:v>
                </c:pt>
                <c:pt idx="12">
                  <c:v>0.1394022</c:v>
                </c:pt>
                <c:pt idx="13">
                  <c:v>0.127774</c:v>
                </c:pt>
                <c:pt idx="14">
                  <c:v>0.1124</c:v>
                </c:pt>
                <c:pt idx="15">
                  <c:v>0.11326710000000001</c:v>
                </c:pt>
                <c:pt idx="16">
                  <c:v>0.10175439999999999</c:v>
                </c:pt>
                <c:pt idx="17">
                  <c:v>8.5294109999999992E-2</c:v>
                </c:pt>
              </c:numCache>
            </c:numRef>
          </c:val>
          <c:smooth val="0"/>
          <c:extLst>
            <c:ext xmlns:c16="http://schemas.microsoft.com/office/drawing/2014/chart" uri="{C3380CC4-5D6E-409C-BE32-E72D297353CC}">
              <c16:uniqueId val="{00000003-8430-4F6F-BBC1-FD902689E71F}"/>
            </c:ext>
          </c:extLst>
        </c:ser>
        <c:ser>
          <c:idx val="4"/>
          <c:order val="4"/>
          <c:tx>
            <c:strRef>
              <c:f>'By region'!$P$2</c:f>
              <c:strCache>
                <c:ptCount val="1"/>
                <c:pt idx="0">
                  <c:v>Center-West</c:v>
                </c:pt>
              </c:strCache>
            </c:strRef>
          </c:tx>
          <c:spPr>
            <a:ln w="28575" cap="rnd">
              <a:solidFill>
                <a:schemeClr val="accent5"/>
              </a:solidFill>
              <a:round/>
            </a:ln>
            <a:effectLst/>
          </c:spPr>
          <c:marker>
            <c:symbol val="none"/>
          </c:marker>
          <c:val>
            <c:numRef>
              <c:f>'By region'!$P$3:$P$20</c:f>
              <c:numCache>
                <c:formatCode>0.0%</c:formatCode>
                <c:ptCount val="18"/>
                <c:pt idx="0">
                  <c:v>0.27336450000000001</c:v>
                </c:pt>
                <c:pt idx="1">
                  <c:v>0.267094</c:v>
                </c:pt>
                <c:pt idx="2">
                  <c:v>0.27324480000000001</c:v>
                </c:pt>
                <c:pt idx="3">
                  <c:v>0.28033469999999999</c:v>
                </c:pt>
                <c:pt idx="4">
                  <c:v>0.21955720000000001</c:v>
                </c:pt>
                <c:pt idx="5">
                  <c:v>0.22782609999999998</c:v>
                </c:pt>
                <c:pt idx="6">
                  <c:v>0.2270451</c:v>
                </c:pt>
                <c:pt idx="7">
                  <c:v>0.1875</c:v>
                </c:pt>
                <c:pt idx="8">
                  <c:v>0.20895520000000001</c:v>
                </c:pt>
                <c:pt idx="9">
                  <c:v>0.17912289999999997</c:v>
                </c:pt>
                <c:pt idx="10">
                  <c:v>0.15654789999999999</c:v>
                </c:pt>
                <c:pt idx="11">
                  <c:v>0.13730680000000001</c:v>
                </c:pt>
                <c:pt idx="12">
                  <c:v>0.1216566</c:v>
                </c:pt>
                <c:pt idx="13">
                  <c:v>0.10590529999999999</c:v>
                </c:pt>
                <c:pt idx="14">
                  <c:v>8.8714539999999995E-2</c:v>
                </c:pt>
                <c:pt idx="15">
                  <c:v>8.8729019999999992E-2</c:v>
                </c:pt>
                <c:pt idx="16">
                  <c:v>8.8372100000000009E-2</c:v>
                </c:pt>
                <c:pt idx="17">
                  <c:v>9.5238089999999997E-2</c:v>
                </c:pt>
              </c:numCache>
            </c:numRef>
          </c:val>
          <c:smooth val="0"/>
          <c:extLst>
            <c:ext xmlns:c16="http://schemas.microsoft.com/office/drawing/2014/chart" uri="{C3380CC4-5D6E-409C-BE32-E72D297353CC}">
              <c16:uniqueId val="{00000004-8430-4F6F-BBC1-FD902689E71F}"/>
            </c:ext>
          </c:extLst>
        </c:ser>
        <c:dLbls>
          <c:showLegendKey val="0"/>
          <c:showVal val="0"/>
          <c:showCatName val="0"/>
          <c:showSerName val="0"/>
          <c:showPercent val="0"/>
          <c:showBubbleSize val="0"/>
        </c:dLbls>
        <c:smooth val="0"/>
        <c:axId val="333372720"/>
        <c:axId val="333375216"/>
      </c:lineChart>
      <c:catAx>
        <c:axId val="33337272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Epidemiological week</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crossAx val="333375216"/>
        <c:crosses val="autoZero"/>
        <c:auto val="1"/>
        <c:lblAlgn val="ctr"/>
        <c:lblOffset val="100"/>
        <c:noMultiLvlLbl val="0"/>
      </c:catAx>
      <c:valAx>
        <c:axId val="333375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Proportionate mortality</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crossAx val="33337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70-79</c:v>
          </c:tx>
          <c:spPr>
            <a:ln w="28575" cap="rnd">
              <a:solidFill>
                <a:srgbClr val="0070C0"/>
              </a:solidFill>
              <a:prstDash val="solid"/>
              <a:round/>
            </a:ln>
            <a:effectLst/>
          </c:spPr>
          <c:marker>
            <c:symbol val="none"/>
          </c:marker>
          <c:cat>
            <c:strRef>
              <c:f>'Prop mortality 2020-2021'!$I$6:$I$18</c:f>
              <c:strCache>
                <c:ptCount val="13"/>
                <c:pt idx="0">
                  <c:v>Mai</c:v>
                </c:pt>
                <c:pt idx="1">
                  <c:v>Jun</c:v>
                </c:pt>
                <c:pt idx="2">
                  <c:v>Jul</c:v>
                </c:pt>
                <c:pt idx="3">
                  <c:v>Ago</c:v>
                </c:pt>
                <c:pt idx="4">
                  <c:v>Set</c:v>
                </c:pt>
                <c:pt idx="5">
                  <c:v>Out</c:v>
                </c:pt>
                <c:pt idx="6">
                  <c:v>Nov</c:v>
                </c:pt>
                <c:pt idx="7">
                  <c:v>Dez</c:v>
                </c:pt>
                <c:pt idx="8">
                  <c:v>Jan</c:v>
                </c:pt>
                <c:pt idx="9">
                  <c:v>Fev</c:v>
                </c:pt>
                <c:pt idx="10">
                  <c:v>Mar</c:v>
                </c:pt>
                <c:pt idx="11">
                  <c:v>Abr</c:v>
                </c:pt>
                <c:pt idx="12">
                  <c:v>Mai</c:v>
                </c:pt>
              </c:strCache>
            </c:strRef>
          </c:cat>
          <c:val>
            <c:numRef>
              <c:f>'Prop mortality 2020-2021'!$J$6:$J$18</c:f>
              <c:numCache>
                <c:formatCode>0.0%</c:formatCode>
                <c:ptCount val="13"/>
                <c:pt idx="0">
                  <c:v>0.25417990000000001</c:v>
                </c:pt>
                <c:pt idx="1">
                  <c:v>0.25851469999999999</c:v>
                </c:pt>
                <c:pt idx="2">
                  <c:v>0.26140969999999997</c:v>
                </c:pt>
                <c:pt idx="3">
                  <c:v>0.26657520000000001</c:v>
                </c:pt>
                <c:pt idx="4">
                  <c:v>0.27115929999999999</c:v>
                </c:pt>
                <c:pt idx="5">
                  <c:v>0.269569</c:v>
                </c:pt>
                <c:pt idx="6">
                  <c:v>0.27425620000000001</c:v>
                </c:pt>
                <c:pt idx="7">
                  <c:v>0.27108129999999997</c:v>
                </c:pt>
                <c:pt idx="8">
                  <c:v>0.27284569999999997</c:v>
                </c:pt>
                <c:pt idx="9">
                  <c:v>0.25394649999999996</c:v>
                </c:pt>
                <c:pt idx="10">
                  <c:v>0.25170530000000002</c:v>
                </c:pt>
                <c:pt idx="11">
                  <c:v>0.24051230000000001</c:v>
                </c:pt>
                <c:pt idx="12">
                  <c:v>0.18848389999999998</c:v>
                </c:pt>
              </c:numCache>
            </c:numRef>
          </c:val>
          <c:smooth val="0"/>
          <c:extLst>
            <c:ext xmlns:c16="http://schemas.microsoft.com/office/drawing/2014/chart" uri="{C3380CC4-5D6E-409C-BE32-E72D297353CC}">
              <c16:uniqueId val="{00000000-B66C-4C44-99FB-63073B023AF7}"/>
            </c:ext>
          </c:extLst>
        </c:ser>
        <c:ser>
          <c:idx val="1"/>
          <c:order val="1"/>
          <c:tx>
            <c:v>80+</c:v>
          </c:tx>
          <c:spPr>
            <a:ln w="28575" cap="rnd">
              <a:solidFill>
                <a:schemeClr val="accent2"/>
              </a:solidFill>
              <a:prstDash val="solid"/>
              <a:round/>
            </a:ln>
            <a:effectLst/>
          </c:spPr>
          <c:marker>
            <c:symbol val="none"/>
          </c:marker>
          <c:cat>
            <c:strRef>
              <c:f>'Prop mortality 2020-2021'!$I$6:$I$18</c:f>
              <c:strCache>
                <c:ptCount val="13"/>
                <c:pt idx="0">
                  <c:v>Mai</c:v>
                </c:pt>
                <c:pt idx="1">
                  <c:v>Jun</c:v>
                </c:pt>
                <c:pt idx="2">
                  <c:v>Jul</c:v>
                </c:pt>
                <c:pt idx="3">
                  <c:v>Ago</c:v>
                </c:pt>
                <c:pt idx="4">
                  <c:v>Set</c:v>
                </c:pt>
                <c:pt idx="5">
                  <c:v>Out</c:v>
                </c:pt>
                <c:pt idx="6">
                  <c:v>Nov</c:v>
                </c:pt>
                <c:pt idx="7">
                  <c:v>Dez</c:v>
                </c:pt>
                <c:pt idx="8">
                  <c:v>Jan</c:v>
                </c:pt>
                <c:pt idx="9">
                  <c:v>Fev</c:v>
                </c:pt>
                <c:pt idx="10">
                  <c:v>Mar</c:v>
                </c:pt>
                <c:pt idx="11">
                  <c:v>Abr</c:v>
                </c:pt>
                <c:pt idx="12">
                  <c:v>Mai</c:v>
                </c:pt>
              </c:strCache>
            </c:strRef>
          </c:cat>
          <c:val>
            <c:numRef>
              <c:f>'Prop mortality 2020-2021'!$K$6:$K$18</c:f>
              <c:numCache>
                <c:formatCode>0.0%</c:formatCode>
                <c:ptCount val="13"/>
                <c:pt idx="0">
                  <c:v>0.26367350000000001</c:v>
                </c:pt>
                <c:pt idx="1">
                  <c:v>0.28314640000000002</c:v>
                </c:pt>
                <c:pt idx="2">
                  <c:v>0.2811072</c:v>
                </c:pt>
                <c:pt idx="3">
                  <c:v>0.28551290000000001</c:v>
                </c:pt>
                <c:pt idx="4">
                  <c:v>0.2907033</c:v>
                </c:pt>
                <c:pt idx="5">
                  <c:v>0.28975059999999997</c:v>
                </c:pt>
                <c:pt idx="6">
                  <c:v>0.2907863</c:v>
                </c:pt>
                <c:pt idx="7">
                  <c:v>0.29058270000000003</c:v>
                </c:pt>
                <c:pt idx="8">
                  <c:v>0.27835149999999997</c:v>
                </c:pt>
                <c:pt idx="9">
                  <c:v>0.26077719999999999</c:v>
                </c:pt>
                <c:pt idx="10">
                  <c:v>0.19362960000000001</c:v>
                </c:pt>
                <c:pt idx="11">
                  <c:v>0.13242800000000002</c:v>
                </c:pt>
                <c:pt idx="12">
                  <c:v>0.11490869999999999</c:v>
                </c:pt>
              </c:numCache>
            </c:numRef>
          </c:val>
          <c:smooth val="0"/>
          <c:extLst>
            <c:ext xmlns:c16="http://schemas.microsoft.com/office/drawing/2014/chart" uri="{C3380CC4-5D6E-409C-BE32-E72D297353CC}">
              <c16:uniqueId val="{00000001-B66C-4C44-99FB-63073B023AF7}"/>
            </c:ext>
          </c:extLst>
        </c:ser>
        <c:dLbls>
          <c:showLegendKey val="0"/>
          <c:showVal val="0"/>
          <c:showCatName val="0"/>
          <c:showSerName val="0"/>
          <c:showPercent val="0"/>
          <c:showBubbleSize val="0"/>
        </c:dLbls>
        <c:smooth val="0"/>
        <c:axId val="1250116352"/>
        <c:axId val="1250109280"/>
      </c:lineChart>
      <c:catAx>
        <c:axId val="125011635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Month                         2020                                                      2021</a:t>
                </a:r>
              </a:p>
            </c:rich>
          </c:tx>
          <c:layout>
            <c:manualLayout>
              <c:xMode val="edge"/>
              <c:yMode val="edge"/>
              <c:x val="0.20189701697123927"/>
              <c:y val="0.8487407600835610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crossAx val="1250109280"/>
        <c:crosses val="autoZero"/>
        <c:auto val="1"/>
        <c:lblAlgn val="ctr"/>
        <c:lblOffset val="100"/>
        <c:noMultiLvlLbl val="0"/>
      </c:catAx>
      <c:valAx>
        <c:axId val="125010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Proportionate mortality (% of all deaths)</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crossAx val="1250116352"/>
        <c:crosses val="autoZero"/>
        <c:crossBetween val="between"/>
      </c:valAx>
      <c:spPr>
        <a:noFill/>
        <a:ln>
          <a:noFill/>
        </a:ln>
        <a:effectLst/>
      </c:spPr>
    </c:plotArea>
    <c:legend>
      <c:legendPos val="b"/>
      <c:layout>
        <c:manualLayout>
          <c:xMode val="edge"/>
          <c:yMode val="edge"/>
          <c:x val="0.41048368953880765"/>
          <c:y val="0.6945020488510365"/>
          <c:w val="0.21962578448185779"/>
          <c:h val="7.080407359794312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'Prop Mortality 2020-2021 sex'!$J$1</c:f>
              <c:strCache>
                <c:ptCount val="1"/>
                <c:pt idx="0">
                  <c:v>Men 70-79</c:v>
                </c:pt>
              </c:strCache>
            </c:strRef>
          </c:tx>
          <c:spPr>
            <a:ln w="28575" cap="rnd">
              <a:solidFill>
                <a:srgbClr val="0070C0"/>
              </a:solidFill>
              <a:prstDash val="sysDash"/>
              <a:round/>
            </a:ln>
            <a:effectLst/>
          </c:spPr>
          <c:marker>
            <c:symbol val="none"/>
          </c:marker>
          <c:cat>
            <c:strRef>
              <c:f>'Prop Mortality 2020-2021 sex'!$I$6:$I$18</c:f>
              <c:strCache>
                <c:ptCount val="13"/>
                <c:pt idx="0">
                  <c:v>Mai</c:v>
                </c:pt>
                <c:pt idx="1">
                  <c:v>Jun</c:v>
                </c:pt>
                <c:pt idx="2">
                  <c:v>Jul</c:v>
                </c:pt>
                <c:pt idx="3">
                  <c:v>Ago</c:v>
                </c:pt>
                <c:pt idx="4">
                  <c:v>Set</c:v>
                </c:pt>
                <c:pt idx="5">
                  <c:v>Out</c:v>
                </c:pt>
                <c:pt idx="6">
                  <c:v>Nov</c:v>
                </c:pt>
                <c:pt idx="7">
                  <c:v>Dez</c:v>
                </c:pt>
                <c:pt idx="8">
                  <c:v>Jan</c:v>
                </c:pt>
                <c:pt idx="9">
                  <c:v>Fev</c:v>
                </c:pt>
                <c:pt idx="10">
                  <c:v>Mar</c:v>
                </c:pt>
                <c:pt idx="11">
                  <c:v>Abr</c:v>
                </c:pt>
                <c:pt idx="12">
                  <c:v>Mai</c:v>
                </c:pt>
              </c:strCache>
            </c:strRef>
          </c:cat>
          <c:val>
            <c:numRef>
              <c:f>'Prop Mortality 2020-2021 sex'!$J$6:$J$18</c:f>
              <c:numCache>
                <c:formatCode>0.0%</c:formatCode>
                <c:ptCount val="13"/>
                <c:pt idx="0">
                  <c:v>0.25591059999999999</c:v>
                </c:pt>
                <c:pt idx="1">
                  <c:v>0.26348539999999998</c:v>
                </c:pt>
                <c:pt idx="2">
                  <c:v>0.26784410000000003</c:v>
                </c:pt>
                <c:pt idx="3">
                  <c:v>0.27266109999999999</c:v>
                </c:pt>
                <c:pt idx="4">
                  <c:v>0.27828540000000002</c:v>
                </c:pt>
                <c:pt idx="5">
                  <c:v>0.2791303</c:v>
                </c:pt>
                <c:pt idx="6">
                  <c:v>0.2833657</c:v>
                </c:pt>
                <c:pt idx="7">
                  <c:v>0.276669</c:v>
                </c:pt>
                <c:pt idx="8">
                  <c:v>0.27860200000000002</c:v>
                </c:pt>
                <c:pt idx="9">
                  <c:v>0.25799510000000003</c:v>
                </c:pt>
                <c:pt idx="10">
                  <c:v>0.2464681</c:v>
                </c:pt>
                <c:pt idx="11">
                  <c:v>0.2363498</c:v>
                </c:pt>
                <c:pt idx="12">
                  <c:v>0.1887046</c:v>
                </c:pt>
              </c:numCache>
            </c:numRef>
          </c:val>
          <c:smooth val="0"/>
          <c:extLst>
            <c:ext xmlns:c16="http://schemas.microsoft.com/office/drawing/2014/chart" uri="{C3380CC4-5D6E-409C-BE32-E72D297353CC}">
              <c16:uniqueId val="{00000000-7424-4F46-AF3C-13B2F0EC7930}"/>
            </c:ext>
          </c:extLst>
        </c:ser>
        <c:ser>
          <c:idx val="1"/>
          <c:order val="1"/>
          <c:tx>
            <c:strRef>
              <c:f>'Prop Mortality 2020-2021 sex'!$K$1</c:f>
              <c:strCache>
                <c:ptCount val="1"/>
                <c:pt idx="0">
                  <c:v>Women 70-79</c:v>
                </c:pt>
              </c:strCache>
            </c:strRef>
          </c:tx>
          <c:spPr>
            <a:ln w="28575" cap="rnd">
              <a:solidFill>
                <a:srgbClr val="FF0000"/>
              </a:solidFill>
              <a:prstDash val="sysDash"/>
              <a:round/>
            </a:ln>
            <a:effectLst/>
          </c:spPr>
          <c:marker>
            <c:symbol val="none"/>
          </c:marker>
          <c:cat>
            <c:strRef>
              <c:f>'Prop Mortality 2020-2021 sex'!$I$6:$I$18</c:f>
              <c:strCache>
                <c:ptCount val="13"/>
                <c:pt idx="0">
                  <c:v>Mai</c:v>
                </c:pt>
                <c:pt idx="1">
                  <c:v>Jun</c:v>
                </c:pt>
                <c:pt idx="2">
                  <c:v>Jul</c:v>
                </c:pt>
                <c:pt idx="3">
                  <c:v>Ago</c:v>
                </c:pt>
                <c:pt idx="4">
                  <c:v>Set</c:v>
                </c:pt>
                <c:pt idx="5">
                  <c:v>Out</c:v>
                </c:pt>
                <c:pt idx="6">
                  <c:v>Nov</c:v>
                </c:pt>
                <c:pt idx="7">
                  <c:v>Dez</c:v>
                </c:pt>
                <c:pt idx="8">
                  <c:v>Jan</c:v>
                </c:pt>
                <c:pt idx="9">
                  <c:v>Fev</c:v>
                </c:pt>
                <c:pt idx="10">
                  <c:v>Mar</c:v>
                </c:pt>
                <c:pt idx="11">
                  <c:v>Abr</c:v>
                </c:pt>
                <c:pt idx="12">
                  <c:v>Mai</c:v>
                </c:pt>
              </c:strCache>
            </c:strRef>
          </c:cat>
          <c:val>
            <c:numRef>
              <c:f>'Prop Mortality 2020-2021 sex'!$K$6:$K$18</c:f>
              <c:numCache>
                <c:formatCode>0.0%</c:formatCode>
                <c:ptCount val="13"/>
                <c:pt idx="0">
                  <c:v>0.2517356</c:v>
                </c:pt>
                <c:pt idx="1">
                  <c:v>0.25175209999999998</c:v>
                </c:pt>
                <c:pt idx="2">
                  <c:v>0.25275799999999998</c:v>
                </c:pt>
                <c:pt idx="3">
                  <c:v>0.2582585</c:v>
                </c:pt>
                <c:pt idx="4">
                  <c:v>0.26183430000000002</c:v>
                </c:pt>
                <c:pt idx="5">
                  <c:v>0.2577103</c:v>
                </c:pt>
                <c:pt idx="6">
                  <c:v>0.26276660000000002</c:v>
                </c:pt>
                <c:pt idx="7">
                  <c:v>0.26391969999999998</c:v>
                </c:pt>
                <c:pt idx="8">
                  <c:v>0.26568910000000001</c:v>
                </c:pt>
                <c:pt idx="9">
                  <c:v>0.24902640000000001</c:v>
                </c:pt>
                <c:pt idx="10">
                  <c:v>0.2578261</c:v>
                </c:pt>
                <c:pt idx="11">
                  <c:v>0.24563680000000002</c:v>
                </c:pt>
                <c:pt idx="12">
                  <c:v>0.18823530000000002</c:v>
                </c:pt>
              </c:numCache>
            </c:numRef>
          </c:val>
          <c:smooth val="0"/>
          <c:extLst>
            <c:ext xmlns:c16="http://schemas.microsoft.com/office/drawing/2014/chart" uri="{C3380CC4-5D6E-409C-BE32-E72D297353CC}">
              <c16:uniqueId val="{00000001-7424-4F46-AF3C-13B2F0EC7930}"/>
            </c:ext>
          </c:extLst>
        </c:ser>
        <c:ser>
          <c:idx val="2"/>
          <c:order val="2"/>
          <c:tx>
            <c:strRef>
              <c:f>'Prop Mortality 2020-2021 sex'!$L$1</c:f>
              <c:strCache>
                <c:ptCount val="1"/>
                <c:pt idx="0">
                  <c:v>Men 80+</c:v>
                </c:pt>
              </c:strCache>
            </c:strRef>
          </c:tx>
          <c:spPr>
            <a:ln w="28575" cap="rnd">
              <a:solidFill>
                <a:schemeClr val="accent1"/>
              </a:solidFill>
              <a:round/>
            </a:ln>
            <a:effectLst/>
          </c:spPr>
          <c:marker>
            <c:symbol val="none"/>
          </c:marker>
          <c:cat>
            <c:strRef>
              <c:f>'Prop Mortality 2020-2021 sex'!$I$6:$I$18</c:f>
              <c:strCache>
                <c:ptCount val="13"/>
                <c:pt idx="0">
                  <c:v>Mai</c:v>
                </c:pt>
                <c:pt idx="1">
                  <c:v>Jun</c:v>
                </c:pt>
                <c:pt idx="2">
                  <c:v>Jul</c:v>
                </c:pt>
                <c:pt idx="3">
                  <c:v>Ago</c:v>
                </c:pt>
                <c:pt idx="4">
                  <c:v>Set</c:v>
                </c:pt>
                <c:pt idx="5">
                  <c:v>Out</c:v>
                </c:pt>
                <c:pt idx="6">
                  <c:v>Nov</c:v>
                </c:pt>
                <c:pt idx="7">
                  <c:v>Dez</c:v>
                </c:pt>
                <c:pt idx="8">
                  <c:v>Jan</c:v>
                </c:pt>
                <c:pt idx="9">
                  <c:v>Fev</c:v>
                </c:pt>
                <c:pt idx="10">
                  <c:v>Mar</c:v>
                </c:pt>
                <c:pt idx="11">
                  <c:v>Abr</c:v>
                </c:pt>
                <c:pt idx="12">
                  <c:v>Mai</c:v>
                </c:pt>
              </c:strCache>
            </c:strRef>
          </c:cat>
          <c:val>
            <c:numRef>
              <c:f>'Prop Mortality 2020-2021 sex'!$L$6:$L$18</c:f>
              <c:numCache>
                <c:formatCode>0.0%</c:formatCode>
                <c:ptCount val="13"/>
                <c:pt idx="0">
                  <c:v>0.22629259999999998</c:v>
                </c:pt>
                <c:pt idx="1">
                  <c:v>0.2495745</c:v>
                </c:pt>
                <c:pt idx="2">
                  <c:v>0.24412669999999997</c:v>
                </c:pt>
                <c:pt idx="3">
                  <c:v>0.25041380000000002</c:v>
                </c:pt>
                <c:pt idx="4">
                  <c:v>0.25473389999999996</c:v>
                </c:pt>
                <c:pt idx="5">
                  <c:v>0.2523109</c:v>
                </c:pt>
                <c:pt idx="6">
                  <c:v>0.25553399999999998</c:v>
                </c:pt>
                <c:pt idx="7">
                  <c:v>0.2608396</c:v>
                </c:pt>
                <c:pt idx="8">
                  <c:v>0.24605640000000001</c:v>
                </c:pt>
                <c:pt idx="9">
                  <c:v>0.22876439999999998</c:v>
                </c:pt>
                <c:pt idx="10">
                  <c:v>0.16951080000000002</c:v>
                </c:pt>
                <c:pt idx="11">
                  <c:v>0.12052860000000001</c:v>
                </c:pt>
                <c:pt idx="12">
                  <c:v>9.8162260000000001E-2</c:v>
                </c:pt>
              </c:numCache>
            </c:numRef>
          </c:val>
          <c:smooth val="0"/>
          <c:extLst>
            <c:ext xmlns:c16="http://schemas.microsoft.com/office/drawing/2014/chart" uri="{C3380CC4-5D6E-409C-BE32-E72D297353CC}">
              <c16:uniqueId val="{00000002-7424-4F46-AF3C-13B2F0EC7930}"/>
            </c:ext>
          </c:extLst>
        </c:ser>
        <c:ser>
          <c:idx val="3"/>
          <c:order val="3"/>
          <c:tx>
            <c:strRef>
              <c:f>'Prop Mortality 2020-2021 sex'!$M$1</c:f>
              <c:strCache>
                <c:ptCount val="1"/>
                <c:pt idx="0">
                  <c:v>Women 80+</c:v>
                </c:pt>
              </c:strCache>
            </c:strRef>
          </c:tx>
          <c:spPr>
            <a:ln w="28575" cap="rnd">
              <a:solidFill>
                <a:srgbClr val="FF0000"/>
              </a:solidFill>
              <a:round/>
            </a:ln>
            <a:effectLst/>
          </c:spPr>
          <c:marker>
            <c:symbol val="none"/>
          </c:marker>
          <c:cat>
            <c:strRef>
              <c:f>'Prop Mortality 2020-2021 sex'!$I$6:$I$18</c:f>
              <c:strCache>
                <c:ptCount val="13"/>
                <c:pt idx="0">
                  <c:v>Mai</c:v>
                </c:pt>
                <c:pt idx="1">
                  <c:v>Jun</c:v>
                </c:pt>
                <c:pt idx="2">
                  <c:v>Jul</c:v>
                </c:pt>
                <c:pt idx="3">
                  <c:v>Ago</c:v>
                </c:pt>
                <c:pt idx="4">
                  <c:v>Set</c:v>
                </c:pt>
                <c:pt idx="5">
                  <c:v>Out</c:v>
                </c:pt>
                <c:pt idx="6">
                  <c:v>Nov</c:v>
                </c:pt>
                <c:pt idx="7">
                  <c:v>Dez</c:v>
                </c:pt>
                <c:pt idx="8">
                  <c:v>Jan</c:v>
                </c:pt>
                <c:pt idx="9">
                  <c:v>Fev</c:v>
                </c:pt>
                <c:pt idx="10">
                  <c:v>Mar</c:v>
                </c:pt>
                <c:pt idx="11">
                  <c:v>Abr</c:v>
                </c:pt>
                <c:pt idx="12">
                  <c:v>Mai</c:v>
                </c:pt>
              </c:strCache>
            </c:strRef>
          </c:cat>
          <c:val>
            <c:numRef>
              <c:f>'Prop Mortality 2020-2021 sex'!$M$6:$M$18</c:f>
              <c:numCache>
                <c:formatCode>0.0%</c:formatCode>
                <c:ptCount val="13"/>
                <c:pt idx="0">
                  <c:v>0.3156639</c:v>
                </c:pt>
                <c:pt idx="1">
                  <c:v>0.32868749999999997</c:v>
                </c:pt>
                <c:pt idx="2">
                  <c:v>0.33089010000000002</c:v>
                </c:pt>
                <c:pt idx="3">
                  <c:v>0.33312390000000003</c:v>
                </c:pt>
                <c:pt idx="4">
                  <c:v>0.33777119999999994</c:v>
                </c:pt>
                <c:pt idx="5">
                  <c:v>0.33618599999999998</c:v>
                </c:pt>
                <c:pt idx="6">
                  <c:v>0.33484160000000002</c:v>
                </c:pt>
                <c:pt idx="7">
                  <c:v>0.32892280000000002</c:v>
                </c:pt>
                <c:pt idx="8">
                  <c:v>0.31869500000000001</c:v>
                </c:pt>
                <c:pt idx="9">
                  <c:v>0.29943750000000002</c:v>
                </c:pt>
                <c:pt idx="10">
                  <c:v>0.2221813</c:v>
                </c:pt>
                <c:pt idx="11">
                  <c:v>0.147122</c:v>
                </c:pt>
                <c:pt idx="12">
                  <c:v>0.13654769999999999</c:v>
                </c:pt>
              </c:numCache>
            </c:numRef>
          </c:val>
          <c:smooth val="0"/>
          <c:extLst>
            <c:ext xmlns:c16="http://schemas.microsoft.com/office/drawing/2014/chart" uri="{C3380CC4-5D6E-409C-BE32-E72D297353CC}">
              <c16:uniqueId val="{00000003-7424-4F46-AF3C-13B2F0EC7930}"/>
            </c:ext>
          </c:extLst>
        </c:ser>
        <c:ser>
          <c:idx val="4"/>
          <c:order val="4"/>
          <c:tx>
            <c:strRef>
              <c:f>'Prop Mortality 2020-2021 sex'!$N$1</c:f>
              <c:strCache>
                <c:ptCount val="1"/>
              </c:strCache>
            </c:strRef>
          </c:tx>
          <c:spPr>
            <a:ln w="28575" cap="rnd">
              <a:solidFill>
                <a:schemeClr val="accent5"/>
              </a:solidFill>
              <a:round/>
            </a:ln>
            <a:effectLst/>
          </c:spPr>
          <c:marker>
            <c:symbol val="none"/>
          </c:marker>
          <c:cat>
            <c:strRef>
              <c:f>'Prop Mortality 2020-2021 sex'!$I$6:$I$18</c:f>
              <c:strCache>
                <c:ptCount val="13"/>
                <c:pt idx="0">
                  <c:v>Mai</c:v>
                </c:pt>
                <c:pt idx="1">
                  <c:v>Jun</c:v>
                </c:pt>
                <c:pt idx="2">
                  <c:v>Jul</c:v>
                </c:pt>
                <c:pt idx="3">
                  <c:v>Ago</c:v>
                </c:pt>
                <c:pt idx="4">
                  <c:v>Set</c:v>
                </c:pt>
                <c:pt idx="5">
                  <c:v>Out</c:v>
                </c:pt>
                <c:pt idx="6">
                  <c:v>Nov</c:v>
                </c:pt>
                <c:pt idx="7">
                  <c:v>Dez</c:v>
                </c:pt>
                <c:pt idx="8">
                  <c:v>Jan</c:v>
                </c:pt>
                <c:pt idx="9">
                  <c:v>Fev</c:v>
                </c:pt>
                <c:pt idx="10">
                  <c:v>Mar</c:v>
                </c:pt>
                <c:pt idx="11">
                  <c:v>Abr</c:v>
                </c:pt>
                <c:pt idx="12">
                  <c:v>Mai</c:v>
                </c:pt>
              </c:strCache>
            </c:strRef>
          </c:cat>
          <c:val>
            <c:numRef>
              <c:f>'Prop Mortality 2020-2021 sex'!$N$6:$N$18</c:f>
              <c:numCache>
                <c:formatCode>General</c:formatCode>
                <c:ptCount val="13"/>
              </c:numCache>
            </c:numRef>
          </c:val>
          <c:smooth val="0"/>
          <c:extLst>
            <c:ext xmlns:c16="http://schemas.microsoft.com/office/drawing/2014/chart" uri="{C3380CC4-5D6E-409C-BE32-E72D297353CC}">
              <c16:uniqueId val="{00000004-7424-4F46-AF3C-13B2F0EC7930}"/>
            </c:ext>
          </c:extLst>
        </c:ser>
        <c:dLbls>
          <c:showLegendKey val="0"/>
          <c:showVal val="0"/>
          <c:showCatName val="0"/>
          <c:showSerName val="0"/>
          <c:showPercent val="0"/>
          <c:showBubbleSize val="0"/>
        </c:dLbls>
        <c:smooth val="0"/>
        <c:axId val="1250116352"/>
        <c:axId val="1250109280"/>
      </c:lineChart>
      <c:catAx>
        <c:axId val="125011635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Month                        2020                                                 2021</a:t>
                </a:r>
              </a:p>
            </c:rich>
          </c:tx>
          <c:layout>
            <c:manualLayout>
              <c:xMode val="edge"/>
              <c:yMode val="edge"/>
              <c:x val="0.21555893693400893"/>
              <c:y val="0.842786821136471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crossAx val="1250109280"/>
        <c:crosses val="autoZero"/>
        <c:auto val="1"/>
        <c:lblAlgn val="ctr"/>
        <c:lblOffset val="100"/>
        <c:noMultiLvlLbl val="0"/>
      </c:catAx>
      <c:valAx>
        <c:axId val="1250109280"/>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Proportionate mortality (% of all deaths)</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crossAx val="1250116352"/>
        <c:crosses val="autoZero"/>
        <c:crossBetween val="between"/>
      </c:valAx>
      <c:spPr>
        <a:noFill/>
        <a:ln>
          <a:noFill/>
        </a:ln>
        <a:effectLst/>
      </c:spPr>
    </c:plotArea>
    <c:legend>
      <c:legendPos val="b"/>
      <c:layout>
        <c:manualLayout>
          <c:xMode val="edge"/>
          <c:yMode val="edge"/>
          <c:x val="0.13003882840160927"/>
          <c:y val="0.67885161383317483"/>
          <c:w val="0.82104087464328968"/>
          <c:h val="6.4972293062941902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4907</Words>
  <Characters>26499</Characters>
  <Application>Microsoft Office Word</Application>
  <DocSecurity>0</DocSecurity>
  <Lines>220</Lines>
  <Paragraphs>62</Paragraphs>
  <ScaleCrop>false</ScaleCrop>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Victora</dc:creator>
  <cp:keywords/>
  <dc:description/>
  <cp:lastModifiedBy>Cesar Victora</cp:lastModifiedBy>
  <cp:revision>3</cp:revision>
  <dcterms:created xsi:type="dcterms:W3CDTF">2021-06-15T18:33:00Z</dcterms:created>
  <dcterms:modified xsi:type="dcterms:W3CDTF">2021-06-15T18:47:00Z</dcterms:modified>
</cp:coreProperties>
</file>